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D175E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017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D175EF">
        <w:rPr>
          <w:sz w:val="18"/>
          <w:szCs w:val="18"/>
          <w:lang w:eastAsia="x-none"/>
        </w:rPr>
        <w:t>5800.107576/2018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F35AA1">
        <w:rPr>
          <w:sz w:val="18"/>
          <w:szCs w:val="18"/>
        </w:rPr>
        <w:t xml:space="preserve">Registro de preços para </w:t>
      </w:r>
      <w:r w:rsidR="00D175EF">
        <w:rPr>
          <w:sz w:val="18"/>
          <w:szCs w:val="18"/>
        </w:rPr>
        <w:t>aquisição de bolsa de colostomia</w:t>
      </w:r>
      <w:r w:rsidR="000E3697" w:rsidRPr="000E3697">
        <w:rPr>
          <w:sz w:val="18"/>
          <w:szCs w:val="18"/>
        </w:rPr>
        <w:t xml:space="preserve"> </w:t>
      </w:r>
      <w:r w:rsidR="00D175EF">
        <w:rPr>
          <w:sz w:val="18"/>
          <w:szCs w:val="18"/>
        </w:rPr>
        <w:t xml:space="preserve">destinado a Secretária Municipal de Saúde de </w:t>
      </w:r>
      <w:r w:rsidR="000E3697" w:rsidRPr="000E3697">
        <w:rPr>
          <w:sz w:val="18"/>
          <w:szCs w:val="18"/>
        </w:rPr>
        <w:t>Maceió,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F47D3B">
        <w:rPr>
          <w:bCs/>
          <w:sz w:val="18"/>
          <w:szCs w:val="18"/>
        </w:rPr>
        <w:t>22</w:t>
      </w:r>
      <w:r w:rsidR="00230E64" w:rsidRPr="00867CEE">
        <w:rPr>
          <w:bCs/>
          <w:sz w:val="18"/>
          <w:szCs w:val="18"/>
        </w:rPr>
        <w:t>/0</w:t>
      </w:r>
      <w:r w:rsidR="00F47D3B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F47D3B">
        <w:rPr>
          <w:bCs/>
          <w:sz w:val="18"/>
          <w:szCs w:val="18"/>
        </w:rPr>
        <w:t>28</w:t>
      </w:r>
      <w:r w:rsidR="00230E64" w:rsidRPr="00867CEE">
        <w:rPr>
          <w:bCs/>
          <w:sz w:val="18"/>
          <w:szCs w:val="18"/>
        </w:rPr>
        <w:t>/0</w:t>
      </w:r>
      <w:r w:rsidR="00F47D3B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3B74FC">
        <w:rPr>
          <w:sz w:val="18"/>
          <w:szCs w:val="18"/>
        </w:rPr>
        <w:t>2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F47D3B">
        <w:rPr>
          <w:sz w:val="18"/>
          <w:szCs w:val="18"/>
        </w:rPr>
        <w:t>21</w:t>
      </w:r>
      <w:r w:rsidRPr="00867CEE">
        <w:rPr>
          <w:sz w:val="18"/>
          <w:szCs w:val="18"/>
        </w:rPr>
        <w:t xml:space="preserve"> de </w:t>
      </w:r>
      <w:r w:rsidR="00F47D3B">
        <w:rPr>
          <w:sz w:val="18"/>
          <w:szCs w:val="18"/>
        </w:rPr>
        <w:t>fevereiro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F47D3B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Sandra Raquel dos Santos Serafim</w:t>
      </w:r>
      <w:bookmarkStart w:id="1" w:name="_GoBack"/>
      <w:bookmarkEnd w:id="1"/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05C7726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59</cp:revision>
  <cp:lastPrinted>2018-02-20T14:54:00Z</cp:lastPrinted>
  <dcterms:created xsi:type="dcterms:W3CDTF">2016-10-24T18:29:00Z</dcterms:created>
  <dcterms:modified xsi:type="dcterms:W3CDTF">2019-02-21T11:55:00Z</dcterms:modified>
</cp:coreProperties>
</file>