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64" w:rsidRDefault="00D95164" w:rsidP="00D9516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24"/>
          <w:lang w:eastAsia="pt-BR"/>
        </w:rPr>
      </w:pPr>
      <w:r w:rsidRPr="00D95164">
        <w:rPr>
          <w:rFonts w:eastAsia="Times New Roman" w:cstheme="minorHAnsi"/>
          <w:b/>
          <w:bCs/>
          <w:color w:val="000000"/>
          <w:sz w:val="40"/>
          <w:szCs w:val="24"/>
          <w:lang w:eastAsia="pt-BR"/>
        </w:rPr>
        <w:t> CIA. MUNICIPAL DE ADM. RECURSOS HUMANOS E PATRIMÔNIO (COMARHP)</w:t>
      </w:r>
    </w:p>
    <w:p w:rsidR="00D95164" w:rsidRPr="00D95164" w:rsidRDefault="00D95164" w:rsidP="00D9516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40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CCCCCC"/>
          <w:lang w:eastAsia="pt-BR"/>
        </w:rPr>
      </w:pPr>
      <w:r w:rsidRPr="00D9516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CCCCCC"/>
          <w:lang w:eastAsia="pt-BR"/>
        </w:rPr>
        <w:t>TERMO DE REFERÊNCIA 02/2019</w:t>
      </w:r>
    </w:p>
    <w:p w:rsidR="00D95164" w:rsidRPr="00D95164" w:rsidRDefault="00D95164" w:rsidP="00D9516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1. DO OBJETO</w:t>
      </w:r>
    </w:p>
    <w:p w:rsidR="00D95164" w:rsidRPr="00D95164" w:rsidRDefault="00D95164" w:rsidP="00D951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  Constitui objeto deste termo de referência a aquisição por compra direta de </w:t>
      </w:r>
      <w:r w:rsidRPr="00D9516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MAQUINA DE CALCULAR DE MESA COM BOBINA</w:t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 para esta Cia. empresa de economia mista, que tem como acionista maior o município de Maceió. </w:t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br/>
        <w:t>2. DA JUSTIFICATIVA </w:t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br/>
        <w:t>2.2. A necessidade de aquisição de </w:t>
      </w:r>
      <w:r w:rsidRPr="00D95164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Máquina de Calcular com Bobina</w:t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, para os setores de Pessoal, Financeiro e Folha de Pagamento. Os setores já mencionados questionam que para melhorar a execução das atividades laborais, visto que, trabalham com números, se faz necessária a aquisição desse material para adequação e otimização dos trabalhos nesta Cia.</w:t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br/>
        <w:t>3. DA FORMA DE AQUISIÇÃO</w:t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br/>
        <w:t>3.1.      O serviço decorrentes deste processo ocorrerá através de Dispensa de Licitação, sob o critério de julgamento de Menor Preço, fundamentada no Art. 24, inciso II, da Lei nº 8.666/93 e suas alterações posteriores e legislação correlata. </w:t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br/>
        <w:t>4. DAS ESPECIFICAÇÕES, QUANTIDADES</w:t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br/>
        <w:t>4.1.      As especificações, quantidades estimadas, bem como todas as informações complementares para a perfeita e regular realização do objeto deste </w:t>
      </w:r>
      <w:r w:rsidRPr="00D9516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Termo de Referência estão descritas no ANEXO I</w:t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   4.2 Conter nos orçamentos os devidos prazos de validade.</w:t>
      </w: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5.  DA QUALIDADE DO SERVIÇO</w:t>
      </w: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5.1 A qualidade dos serviços realizados será avaliada pela aplicação dos serviços, aderência às especificações formuladas pelo CONTRATANTE, conformidade aos padrões estabelecidos na Metodologia de Desenvolvimento do CONTRATANTE e pelas Melhores Práticas e Padrões de Desenvolvimento. A avaliação da qualidade dos serviços entregues será feita no aceite do serviço, a motivação da recusa do serviço será formalizada pelo CONTRATANTE. Havendo recusa do serviço, decorrente da avaliação de qualidade, a CONTRATADA deverá providenciar as correções necessárias dentro do prazo estipulado </w:t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para a OS. Havendo atraso na realização dos serviços a CONTRATADA estará sujeita às sanções especificadas em contrato.</w:t>
      </w: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6.  DA GARANTIA DO OBJETO</w:t>
      </w: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6.1 Todos os serviços que tiverem obtido aceite (provisório ou definitivo) do CONTRATANTE terão garantia da CONTRATADA.</w:t>
      </w: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7. DAS OBRIGAÇÕES DA CONTRATANTE E DA CONTRATADA</w:t>
      </w: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 7.1 São obrigações da CONTRATANTE: 7.1.1 Efetuar os pagamentos devidos à CONTRATADA, nas condições estabelecidas em CONTRATO. 7.1.2 Fornecer à CONTRATADA, documentos, informações e demais elementos que possuir ligados ao futuro CONTRATO.</w:t>
      </w: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7.1.3 Exercer a fiscalização dos serviços e o controle dos contratos. 7.1.4 Assegurar aos profissionais credenciados pela CONTRATADA o acesso para a execução dos serviços do objeto, resguardadas as normas de sigilo e segurança impostas pelo CONTRATANTE.</w:t>
      </w: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8. São obrigações da CONTRATADA:</w:t>
      </w: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 8.1.1 A Empresa CONTRATADA deverá manter, sem custo para o CONTRATANTE, em cará</w:t>
      </w:r>
      <w:r w:rsidRPr="00D95164">
        <w:rPr>
          <w:rFonts w:eastAsia="Times New Roman" w:cstheme="minorHAnsi"/>
          <w:color w:val="005A95"/>
          <w:sz w:val="24"/>
          <w:szCs w:val="24"/>
          <w:lang w:eastAsia="pt-BR"/>
        </w:rPr>
        <w:t>ter</w:t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permanente à frente dos serviços, um preposto, que além de possuir os conhecimentos e a capacidade profissional necessários, deverá </w:t>
      </w:r>
      <w:r w:rsidRPr="00D95164">
        <w:rPr>
          <w:rFonts w:eastAsia="Times New Roman" w:cstheme="minorHAnsi"/>
          <w:color w:val="005A95"/>
          <w:sz w:val="24"/>
          <w:szCs w:val="24"/>
          <w:lang w:eastAsia="pt-BR"/>
        </w:rPr>
        <w:t>ter</w:t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 competência para resolver imediatamente todo e qualquer assunto relacionado com os serviços contratados.</w:t>
      </w: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8.1.2 Controlar e acompanhar o cumprimento dos serviços contratados que serão realizados na CONTRATADA, ou seja, em suas instalações, ficando responsável por toda infraestrutura técnica necessária sem ônus adicional para a CONTRATANTE.</w:t>
      </w: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8.1.3 Providenciar a imediata correção das deficiências apontadas pelo CONTRATANTE quanto à execução dos serviços contratados. 8.1.4 Garantir, para as metodologias que desenvolver ou alterar, durante a vigência do contrato, todo e qualquer tipo de duvidas durante a realização dos serviços, sem ônus adicionais para o CONTRATANTE.</w:t>
      </w: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9. DA GARANTIA</w:t>
      </w: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9.1.1 Garantir por um prazo de 15 (quinze) dias posteriores, a partir do aceite final do CONTRATANTE, de cada Ordem de Serviço, todas as dúvidas corretivas decorrentes da realização do serviço, sem ônus para o CONTRATANTE, independente da vigência contratual.</w:t>
      </w: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10.  DO PAGAMENTO DOS SERVIÇOS</w:t>
      </w: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 Pelo fornecimento do serviço, O CONTRATANTE remunerará a CONTRATADA a partir do valor mensal estabelecido em contrato entregues e homologadas, com emissão de nota fiscal.</w:t>
      </w: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after="60" w:line="253" w:lineRule="atLeast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10.1.1 O pagamento será efetuado pela Contratante, de acordo com o estabelecido através de depósito bancário em conta corrente fornecida pela contratada, em até 15 (quinze) dias, contados da apresentação de requerimento, nota fiscal, recibo e certidões necessárias, devidamente analisadas e atestadas pelo servidor designado pela Contratante.</w:t>
      </w:r>
    </w:p>
    <w:p w:rsidR="00D95164" w:rsidRPr="00D95164" w:rsidRDefault="00D95164" w:rsidP="00D95164">
      <w:pPr>
        <w:shd w:val="clear" w:color="auto" w:fill="FFFFFF"/>
        <w:spacing w:after="60" w:line="253" w:lineRule="atLeast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after="60" w:line="253" w:lineRule="atLeast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10.1.2 Havendo erro na Fatura/Nota Fiscal/Recibo, ou outra circunstância que desaprove a liquidação, o pagamento será sustado, até que sejam tomadas as medidas saneadoras necessárias.</w:t>
      </w:r>
    </w:p>
    <w:p w:rsidR="00D95164" w:rsidRPr="00D95164" w:rsidRDefault="00D95164" w:rsidP="00D95164">
      <w:pPr>
        <w:shd w:val="clear" w:color="auto" w:fill="FFFFFF"/>
        <w:spacing w:after="60" w:line="253" w:lineRule="atLeast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after="60" w:line="253" w:lineRule="atLeast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10.1.3 Os pagamentos podem ser realizados com recursos próprios e/ou com recursos de convênios.</w:t>
      </w:r>
    </w:p>
    <w:p w:rsidR="00D95164" w:rsidRPr="00D95164" w:rsidRDefault="00D95164" w:rsidP="00D95164">
      <w:pPr>
        <w:shd w:val="clear" w:color="auto" w:fill="FFFFFF"/>
        <w:spacing w:after="60" w:line="253" w:lineRule="atLeast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11. DAS CERTIDÕES</w:t>
      </w: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11.1.1 Prova de regularidade para com a Fazenda Federal: Certidão de Quitação de Tributos Federais, expedida pela Secretaria da Receita Federal, e Certidão Negativa da Dívida Ativa da União, expedida pela Procuradoria da Fazenda Nacional; </w:t>
      </w: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11.1.2 Prova de regularidade relativa à Seguridade Social: Certidão Negativa de Débito – CND, emitida pelo Instituto Nacional do Seguro Social-INSS; </w:t>
      </w: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11.1.3 Certificado de Regularidade do FGTS- CRF, emitida pela Caixa Econômica Federal;</w:t>
      </w: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11.1.4 Prova de regularidade trabalhista – CNDT – emitida pelo Tribunal Superior do Trabalho (TST);</w:t>
      </w: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11.1.5 Prova de regularidade - CND - para com a Prefeitura Municipal de Maceió.</w:t>
      </w: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12.  DAS SANÇÕES ADMINISTRATIVAS</w:t>
      </w: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12.1.1 Comete infração administrativa nos termos da Lei nº 8.666, de 1993, da Lei nº 10.520, de 2002, e da Lei 12.846, de 2013, a CONTRATADA que: </w:t>
      </w: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12.1.1 </w:t>
      </w:r>
      <w:proofErr w:type="spellStart"/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Inexecutar</w:t>
      </w:r>
      <w:proofErr w:type="spellEnd"/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total ou parcialmente qualquer das obrigações assumidas em decorrência da contratação; </w:t>
      </w: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12.1.2 Ensejar o retardamento da execução do objeto; </w:t>
      </w: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12</w:t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.1.3 Fraudar na execução do contrato; </w:t>
      </w: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12.1.3 Comportar-se de modo inidôneo; </w:t>
      </w: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12</w:t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.1.4 Cometer fraude fiscal; </w:t>
      </w: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12.1.5 Não mantiver a proposta; </w:t>
      </w: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12.1.6 Criar, de modo fraudulento ou irregular, pessoa jurídica para celebrar contrato administrativo; </w:t>
      </w: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12.1.7 Obtiver vantagem ou benefício indevido, de modo fraudulento, de modificações ou prorrogações de contratos celebrados com a administração pública, sem autorização em lei, no ato convocatório da licitação pública ou nos respectivos instrumentos contratuais; </w:t>
      </w: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12.1.8 Manipular ou fraudar o equilíbrio econômico-financeiro dos contratos celebrados com a administração pública. </w:t>
      </w: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12.1.9 A CONTRATADA que cometer qualquer das infrações discriminadas no subitem acima ficará sujeita, sem prejuízo da responsabilidade civil e criminal, às sanções previstas Lei nº 8.666, de 1993, da Lei nº 10.520, de 2002, e da Lei 12.846, de 2013, observado o Decreto nº 4.054, de 19 de setembro de </w:t>
      </w:r>
      <w:hyperlink r:id="rId5" w:history="1">
        <w:r w:rsidRPr="00D95164">
          <w:rPr>
            <w:rFonts w:eastAsia="Times New Roman" w:cstheme="minorHAnsi"/>
            <w:color w:val="000000"/>
            <w:sz w:val="24"/>
            <w:szCs w:val="24"/>
            <w:lang w:eastAsia="pt-BR"/>
          </w:rPr>
          <w:t>2008. 12.1.10</w:t>
        </w:r>
      </w:hyperlink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 Também ficam sujeitas às penalidades do art. 87, III e IV da Lei nº 8.666, de 1993, a CONTRATADA que: </w:t>
      </w: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12.1.11 Tenha sofrido condenação definitiva por praticar, por meio dolosos, fraude fiscal no recolhimento de quaisquer tributos; </w:t>
      </w: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12.1.12 Tenha praticado atos ilícitos visando a frustrar os objetivos da licitação; </w:t>
      </w: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12.1.13 Demonstre não possuir idoneidade para contratar com a Administração em virtude de atos ilícitos praticados. </w:t>
      </w: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12.1.14 A aplicação de qualquer das penalidades previstas realizar-se-á em processo administrativo que assegurará o contraditório e a ampla defesa à CONTRATADA, observando-se o procedimento previsto na Lei nº 8.666, de 1993, e subsidiariamente a Lei nº 6.161, de </w:t>
      </w:r>
      <w:hyperlink r:id="rId6" w:history="1">
        <w:r w:rsidRPr="00D95164">
          <w:rPr>
            <w:rFonts w:eastAsia="Times New Roman" w:cstheme="minorHAnsi"/>
            <w:color w:val="000000"/>
            <w:sz w:val="24"/>
            <w:szCs w:val="24"/>
            <w:lang w:eastAsia="pt-BR"/>
          </w:rPr>
          <w:t>2000. 12.1.15</w:t>
        </w:r>
      </w:hyperlink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 A autoridade competente, na aplicação das sanções, levará em consideração a gravidade da conduta do infrator, o cará</w:t>
      </w:r>
      <w:r w:rsidRPr="00D95164">
        <w:rPr>
          <w:rFonts w:eastAsia="Times New Roman" w:cstheme="minorHAnsi"/>
          <w:color w:val="005A95"/>
          <w:sz w:val="24"/>
          <w:szCs w:val="24"/>
          <w:lang w:eastAsia="pt-BR"/>
        </w:rPr>
        <w:t>ter</w:t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 educativo da pena, bem como o dano causado à Administração, observado o princípio da proporcionalidade.</w:t>
      </w:r>
    </w:p>
    <w:p w:rsidR="00D95164" w:rsidRPr="00D95164" w:rsidRDefault="00D95164" w:rsidP="00D951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Default="00D95164" w:rsidP="00D95164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</w:pPr>
      <w:r w:rsidRPr="00D9516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ANEXO I</w:t>
      </w:r>
    </w:p>
    <w:p w:rsidR="00D95164" w:rsidRPr="00D95164" w:rsidRDefault="00D95164" w:rsidP="00D95164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95164" w:rsidRPr="00D95164" w:rsidRDefault="00D95164" w:rsidP="00D95164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MAQUINA DE CALCULAR DE MESA COM BOBINA</w:t>
      </w:r>
    </w:p>
    <w:tbl>
      <w:tblPr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8219"/>
        <w:gridCol w:w="1134"/>
      </w:tblGrid>
      <w:tr w:rsidR="00D95164" w:rsidRPr="00D95164" w:rsidTr="00D95164">
        <w:trPr>
          <w:trHeight w:val="60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164" w:rsidRPr="00D95164" w:rsidRDefault="00D95164" w:rsidP="00D951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516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164" w:rsidRPr="00D95164" w:rsidRDefault="00D95164" w:rsidP="00D951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516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164" w:rsidRPr="00D95164" w:rsidRDefault="00D95164" w:rsidP="00D951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Quant</w:t>
            </w:r>
            <w:r w:rsidRPr="00D9516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D95164" w:rsidRPr="00D95164" w:rsidTr="00D95164">
        <w:trPr>
          <w:trHeight w:val="78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164" w:rsidRPr="00D95164" w:rsidRDefault="00D95164" w:rsidP="00D951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516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164" w:rsidRPr="00D95164" w:rsidRDefault="00D95164" w:rsidP="00D951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5164">
              <w:rPr>
                <w:rFonts w:eastAsia="Times New Roman" w:cstheme="minorHAnsi"/>
                <w:sz w:val="24"/>
                <w:szCs w:val="24"/>
                <w:lang w:eastAsia="pt-BR"/>
              </w:rPr>
              <w:t>Calculadora de mesa / tipo compacto;</w:t>
            </w:r>
          </w:p>
          <w:p w:rsidR="00D95164" w:rsidRPr="00D95164" w:rsidRDefault="00D95164" w:rsidP="00D951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5164">
              <w:rPr>
                <w:rFonts w:eastAsia="Times New Roman" w:cstheme="minorHAnsi"/>
                <w:sz w:val="24"/>
                <w:szCs w:val="24"/>
                <w:lang w:eastAsia="pt-BR"/>
              </w:rPr>
              <w:t>Com bobina, Impressão 12 dígitos em 2 cores;</w:t>
            </w:r>
          </w:p>
          <w:p w:rsidR="00D95164" w:rsidRPr="00D95164" w:rsidRDefault="00D95164" w:rsidP="00D951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5164">
              <w:rPr>
                <w:rFonts w:eastAsia="Times New Roman" w:cstheme="minorHAnsi"/>
                <w:sz w:val="24"/>
                <w:szCs w:val="24"/>
                <w:lang w:eastAsia="pt-BR"/>
              </w:rPr>
              <w:t>Impressão de 2,0 linhas por segundo;</w:t>
            </w:r>
          </w:p>
          <w:p w:rsidR="00D95164" w:rsidRPr="00D95164" w:rsidRDefault="00D95164" w:rsidP="00D951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5164">
              <w:rPr>
                <w:rFonts w:eastAsia="Times New Roman" w:cstheme="minorHAnsi"/>
                <w:sz w:val="24"/>
                <w:szCs w:val="24"/>
                <w:lang w:eastAsia="pt-BR"/>
              </w:rPr>
              <w:t> 220v ou bi volt.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164" w:rsidRPr="00D95164" w:rsidRDefault="00D95164" w:rsidP="00D951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516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</w:tbl>
    <w:p w:rsidR="00D95164" w:rsidRDefault="00D95164" w:rsidP="00D951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               </w:t>
      </w:r>
    </w:p>
    <w:p w:rsidR="00A12BE5" w:rsidRPr="00D95164" w:rsidRDefault="00D95164" w:rsidP="00D951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  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D95164">
        <w:rPr>
          <w:rFonts w:eastAsia="Times New Roman" w:cstheme="minorHAnsi"/>
          <w:color w:val="000000"/>
          <w:sz w:val="24"/>
          <w:szCs w:val="24"/>
          <w:lang w:eastAsia="pt-BR"/>
        </w:rPr>
        <w:t>Maceió, </w:t>
      </w:r>
      <w:r w:rsidRPr="00D95164">
        <w:rPr>
          <w:rFonts w:eastAsia="Times New Roman" w:cstheme="minorHAnsi"/>
          <w:color w:val="005A95"/>
          <w:sz w:val="24"/>
          <w:szCs w:val="24"/>
          <w:lang w:eastAsia="pt-BR"/>
        </w:rPr>
        <w:t>20 de fevereiro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 de 2019               </w:t>
      </w:r>
    </w:p>
    <w:sectPr w:rsidR="00A12BE5" w:rsidRPr="00D95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059"/>
    <w:multiLevelType w:val="multilevel"/>
    <w:tmpl w:val="6B16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64"/>
    <w:rsid w:val="002F0045"/>
    <w:rsid w:val="00383B38"/>
    <w:rsid w:val="00D9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DEBDA-4FCE-4E30-9C93-8E6A0C2B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D95164"/>
  </w:style>
  <w:style w:type="character" w:styleId="Hyperlink">
    <w:name w:val="Hyperlink"/>
    <w:basedOn w:val="Fontepargpadro"/>
    <w:uiPriority w:val="99"/>
    <w:semiHidden/>
    <w:unhideWhenUsed/>
    <w:rsid w:val="00D95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7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2000.%2012.1.15" TargetMode="External"/><Relationship Id="rId5" Type="http://schemas.openxmlformats.org/officeDocument/2006/relationships/hyperlink" Target="callto:2008.%2012.1.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1249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de Vasconcelos Costa</dc:creator>
  <cp:keywords/>
  <dc:description/>
  <cp:lastModifiedBy>Fabricio de Vasconcelos Costa</cp:lastModifiedBy>
  <cp:revision>1</cp:revision>
  <dcterms:created xsi:type="dcterms:W3CDTF">2019-03-18T11:52:00Z</dcterms:created>
  <dcterms:modified xsi:type="dcterms:W3CDTF">2019-03-18T11:57:00Z</dcterms:modified>
</cp:coreProperties>
</file>