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45" w:rsidRPr="0005115D" w:rsidRDefault="00810845" w:rsidP="0085168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1E11" w:rsidRPr="0005115D" w:rsidRDefault="003C1E11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b/>
          <w:color w:val="000000"/>
          <w:sz w:val="24"/>
          <w:szCs w:val="24"/>
        </w:rPr>
        <w:t>Processo nº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: 7100.08738/2019.</w:t>
      </w:r>
    </w:p>
    <w:p w:rsidR="003C1E11" w:rsidRPr="0005115D" w:rsidRDefault="003C1E11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Assunto: 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Contratação de consultoria.</w:t>
      </w:r>
    </w:p>
    <w:p w:rsidR="003C1E11" w:rsidRPr="0005115D" w:rsidRDefault="003C1E11" w:rsidP="003C1E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15D">
        <w:rPr>
          <w:rFonts w:ascii="Times New Roman" w:hAnsi="Times New Roman" w:cs="Times New Roman"/>
          <w:b/>
          <w:sz w:val="24"/>
          <w:szCs w:val="24"/>
        </w:rPr>
        <w:t xml:space="preserve">PREGÃO ELETRÔNICO Nº 42/2019 </w:t>
      </w:r>
    </w:p>
    <w:p w:rsidR="00B92484" w:rsidRPr="0005115D" w:rsidRDefault="00B92484" w:rsidP="008516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61B9" w:rsidRPr="0005115D" w:rsidRDefault="001361B9" w:rsidP="008516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RESPOSTA A PEDIDO DE IMPUGNAÇÃO</w:t>
      </w:r>
    </w:p>
    <w:p w:rsidR="00C31100" w:rsidRPr="0005115D" w:rsidRDefault="00C31100" w:rsidP="0085168D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115D">
        <w:rPr>
          <w:rFonts w:ascii="Times New Roman" w:hAnsi="Times New Roman" w:cs="Times New Roman"/>
          <w:color w:val="000000" w:themeColor="text1"/>
        </w:rPr>
        <w:t xml:space="preserve">O presente expediente destina‐se ao processamento da análise dos termos de impugnação do Edital de Pregão Eletrônico nº. </w:t>
      </w:r>
      <w:r w:rsidR="00C276D6" w:rsidRPr="0005115D">
        <w:rPr>
          <w:rFonts w:ascii="Times New Roman" w:hAnsi="Times New Roman" w:cs="Times New Roman"/>
          <w:color w:val="000000" w:themeColor="text1"/>
        </w:rPr>
        <w:t>42</w:t>
      </w:r>
      <w:r w:rsidRPr="0005115D">
        <w:rPr>
          <w:rFonts w:ascii="Times New Roman" w:hAnsi="Times New Roman" w:cs="Times New Roman"/>
          <w:color w:val="000000" w:themeColor="text1"/>
        </w:rPr>
        <w:t>/201</w:t>
      </w:r>
      <w:r w:rsidR="00C276D6" w:rsidRPr="0005115D">
        <w:rPr>
          <w:rFonts w:ascii="Times New Roman" w:hAnsi="Times New Roman" w:cs="Times New Roman"/>
          <w:color w:val="000000" w:themeColor="text1"/>
        </w:rPr>
        <w:t>9</w:t>
      </w:r>
      <w:r w:rsidRPr="0005115D">
        <w:rPr>
          <w:rFonts w:ascii="Times New Roman" w:hAnsi="Times New Roman" w:cs="Times New Roman"/>
          <w:color w:val="000000" w:themeColor="text1"/>
        </w:rPr>
        <w:t xml:space="preserve">, interposta pela </w:t>
      </w:r>
      <w:r w:rsidR="00C276D6" w:rsidRPr="0005115D">
        <w:rPr>
          <w:rFonts w:ascii="Times New Roman" w:hAnsi="Times New Roman" w:cs="Times New Roman"/>
          <w:color w:val="000000" w:themeColor="text1"/>
        </w:rPr>
        <w:t xml:space="preserve">empresa </w:t>
      </w:r>
      <w:r w:rsidR="001B1B4F">
        <w:rPr>
          <w:rFonts w:ascii="Times New Roman" w:hAnsi="Times New Roman" w:cs="Times New Roman"/>
          <w:b/>
          <w:color w:val="000000" w:themeColor="text1"/>
        </w:rPr>
        <w:t>GPO SISTRAN ENGENHARIA LTDA.</w:t>
      </w:r>
      <w:r w:rsidRPr="0005115D">
        <w:rPr>
          <w:rFonts w:ascii="Times New Roman" w:hAnsi="Times New Roman" w:cs="Times New Roman"/>
          <w:color w:val="000000" w:themeColor="text1"/>
        </w:rPr>
        <w:t xml:space="preserve">, </w:t>
      </w:r>
      <w:r w:rsidR="003A3851">
        <w:rPr>
          <w:rFonts w:ascii="Times New Roman" w:hAnsi="Times New Roman" w:cs="Times New Roman"/>
          <w:color w:val="000000" w:themeColor="text1"/>
        </w:rPr>
        <w:t xml:space="preserve">encaminhado via Correios, </w:t>
      </w:r>
      <w:r w:rsidRPr="0005115D">
        <w:rPr>
          <w:rFonts w:ascii="Times New Roman" w:hAnsi="Times New Roman" w:cs="Times New Roman"/>
          <w:color w:val="000000" w:themeColor="text1"/>
        </w:rPr>
        <w:t>tendo‐a feito tempestivamente</w:t>
      </w:r>
      <w:r w:rsidR="00C276D6" w:rsidRPr="0005115D">
        <w:rPr>
          <w:rFonts w:ascii="Times New Roman" w:hAnsi="Times New Roman" w:cs="Times New Roman"/>
          <w:color w:val="000000" w:themeColor="text1"/>
        </w:rPr>
        <w:t xml:space="preserve">, </w:t>
      </w:r>
      <w:r w:rsidRPr="0005115D">
        <w:rPr>
          <w:rFonts w:ascii="Times New Roman" w:hAnsi="Times New Roman" w:cs="Times New Roman"/>
          <w:color w:val="000000" w:themeColor="text1"/>
        </w:rPr>
        <w:t xml:space="preserve">na forma disposta no item </w:t>
      </w:r>
      <w:r w:rsidR="003C1E11" w:rsidRPr="0005115D">
        <w:rPr>
          <w:rFonts w:ascii="Times New Roman" w:hAnsi="Times New Roman" w:cs="Times New Roman"/>
          <w:color w:val="000000" w:themeColor="text1"/>
        </w:rPr>
        <w:t>5</w:t>
      </w:r>
      <w:r w:rsidRPr="0005115D">
        <w:rPr>
          <w:rFonts w:ascii="Times New Roman" w:hAnsi="Times New Roman" w:cs="Times New Roman"/>
          <w:color w:val="000000" w:themeColor="text1"/>
        </w:rPr>
        <w:t xml:space="preserve"> do instrumento conv</w:t>
      </w:r>
      <w:r w:rsidR="00755C29" w:rsidRPr="0005115D">
        <w:rPr>
          <w:rFonts w:ascii="Times New Roman" w:hAnsi="Times New Roman" w:cs="Times New Roman"/>
          <w:color w:val="000000" w:themeColor="text1"/>
        </w:rPr>
        <w:t>ocatório, restando preenchidos</w:t>
      </w:r>
      <w:r w:rsidR="001B1B4F">
        <w:rPr>
          <w:rFonts w:ascii="Times New Roman" w:hAnsi="Times New Roman" w:cs="Times New Roman"/>
          <w:color w:val="000000" w:themeColor="text1"/>
        </w:rPr>
        <w:t xml:space="preserve"> </w:t>
      </w:r>
      <w:r w:rsidRPr="0005115D">
        <w:rPr>
          <w:rFonts w:ascii="Times New Roman" w:hAnsi="Times New Roman" w:cs="Times New Roman"/>
          <w:color w:val="000000" w:themeColor="text1"/>
        </w:rPr>
        <w:t>os requisitos de admissibilidade e tempestividade da peça interposta, cujo bojo traz questionamentos os quais serão objeto de análise a partir de agora:</w:t>
      </w:r>
    </w:p>
    <w:p w:rsidR="006B23DC" w:rsidRPr="0005115D" w:rsidRDefault="006B23DC" w:rsidP="0085168D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31100" w:rsidRPr="0005115D" w:rsidRDefault="00C31100" w:rsidP="0085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– DA MOTIVAÇÃO </w:t>
      </w:r>
    </w:p>
    <w:p w:rsidR="001B1B4F" w:rsidRPr="001B1B4F" w:rsidRDefault="0074577C" w:rsidP="0085168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Impugnante, </w:t>
      </w:r>
      <w:r w:rsidRPr="000511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em </w:t>
      </w:r>
      <w:r w:rsidR="008820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apertada </w:t>
      </w:r>
      <w:r w:rsidRPr="000511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síntese, </w:t>
      </w:r>
      <w:r w:rsidR="008200AD" w:rsidRPr="000511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alega</w:t>
      </w:r>
      <w:r w:rsidR="008820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8200AD" w:rsidRPr="000511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A734F" w:rsidRDefault="001B1B4F" w:rsidP="001B1B4F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inadequação da modalidade de contratação escolhida para o </w:t>
      </w:r>
      <w:r w:rsidR="00EE4D8A" w:rsidRPr="00882015">
        <w:rPr>
          <w:rFonts w:ascii="Times New Roman" w:hAnsi="Times New Roman" w:cs="Times New Roman"/>
          <w:color w:val="000000" w:themeColor="text1"/>
          <w:sz w:val="24"/>
          <w:szCs w:val="24"/>
        </w:rPr>
        <w:t>objeto do pregão</w:t>
      </w:r>
      <w:r w:rsidR="0088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visto que a impugnante informa que foi contratada para prestar serviços de consultoria de engenharia de transporte e de planejamento urbano para estudo de delegação do sistema de transporte público de Maceió, </w:t>
      </w:r>
      <w:r w:rsidR="005A734F">
        <w:rPr>
          <w:rFonts w:ascii="Times New Roman" w:hAnsi="Times New Roman" w:cs="Times New Roman"/>
          <w:color w:val="000000" w:themeColor="text1"/>
          <w:sz w:val="24"/>
          <w:szCs w:val="24"/>
        </w:rPr>
        <w:t>em junho/2015, e que esses serviços a serem contratados através desse PE 42/2019 são “...</w:t>
      </w:r>
      <w:r w:rsidR="005A734F" w:rsidRPr="005A73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dependentes do grau de conhecimento e do domínio que se possua</w:t>
      </w:r>
      <w:r w:rsidR="005A7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34F" w:rsidRPr="005A73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daqueles serviços</w:t>
      </w:r>
      <w:r w:rsidR="005A734F">
        <w:rPr>
          <w:rFonts w:ascii="Times New Roman" w:hAnsi="Times New Roman" w:cs="Times New Roman"/>
          <w:color w:val="000000" w:themeColor="text1"/>
          <w:sz w:val="24"/>
          <w:szCs w:val="24"/>
        </w:rPr>
        <w:t>...” (transcrito da peça impugnatória), anteriormente contratados em 2015.</w:t>
      </w:r>
    </w:p>
    <w:p w:rsidR="001B1B4F" w:rsidRDefault="005A734F" w:rsidP="005A734F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 ainda que, por ter elaborado os estudos que embasaram as atuais concessões, a SISTRAN é aquela que detém as melhores condições para executar o objeto ora licitado, sendo</w:t>
      </w:r>
      <w:r w:rsidR="006968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portanto, </w:t>
      </w:r>
      <w:r w:rsidR="00696813">
        <w:rPr>
          <w:rFonts w:ascii="Times New Roman" w:hAnsi="Times New Roman" w:cs="Times New Roman"/>
          <w:color w:val="000000" w:themeColor="text1"/>
          <w:sz w:val="24"/>
          <w:szCs w:val="24"/>
        </w:rPr>
        <w:t>uma situação de único fornecedor, o que se enquadraria como uma hipótese de inexigibilidade de licitação (art. 25, inciso I e §1º da Lei Federal 8.666/93).</w:t>
      </w:r>
    </w:p>
    <w:p w:rsidR="00696813" w:rsidRPr="00882015" w:rsidRDefault="00696813" w:rsidP="005A734F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813" w:rsidRDefault="00696813" w:rsidP="001B1B4F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Relata, ainda, que o objeto do PE 42/2019, não se enquadra na descrição de bens e serviços comuns, pois não pode ser objetivamente definido pelo edital e nem por meio de especificações usuais de mercado para tal, devido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complexidade técnica.</w:t>
      </w:r>
    </w:p>
    <w:p w:rsidR="00696813" w:rsidRPr="00696813" w:rsidRDefault="00696813" w:rsidP="003A3851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0AD" w:rsidRPr="0005115D" w:rsidRDefault="003A3851" w:rsidP="001B1B4F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impugnante frisa que “... </w:t>
      </w:r>
      <w:r w:rsidRPr="003A385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ainda que o município de Maceió decida prosseguir pela contratação mediada por processo licitatório, que se atente para a possível inadequação da adoção da modalidade pregão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...</w:t>
      </w:r>
      <w:r w:rsidR="008200AD" w:rsidRPr="000511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”</w:t>
      </w:r>
      <w:r w:rsidR="002B1623" w:rsidRPr="000511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2B1623" w:rsidRPr="000511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0511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transcrito </w:t>
      </w:r>
      <w:r w:rsidR="002B1623" w:rsidRPr="000511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 peça impugnatória)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200AD" w:rsidRPr="0005115D" w:rsidRDefault="003A3851" w:rsidP="003A3851">
      <w:pPr>
        <w:pStyle w:val="PargrafodaLista"/>
        <w:tabs>
          <w:tab w:val="left" w:pos="2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1100" w:rsidRPr="0005115D" w:rsidRDefault="00573224" w:rsidP="0085168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>Diante d</w:t>
      </w:r>
      <w:r w:rsidR="00C31100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exposição de sua motivação a </w:t>
      </w: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Impugnante requer </w:t>
      </w:r>
      <w:r w:rsidR="003A3851">
        <w:rPr>
          <w:rFonts w:ascii="Times New Roman" w:hAnsi="Times New Roman" w:cs="Times New Roman"/>
          <w:color w:val="000000" w:themeColor="text1"/>
          <w:sz w:val="24"/>
          <w:szCs w:val="24"/>
        </w:rPr>
        <w:t>seja revogado o certame e instaurado processo de inexigibilidade de licitação para contratação com a SISTRAN, e alternativamente, caso seu plei</w:t>
      </w:r>
      <w:r w:rsidR="00472D0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A3851">
        <w:rPr>
          <w:rFonts w:ascii="Times New Roman" w:hAnsi="Times New Roman" w:cs="Times New Roman"/>
          <w:color w:val="000000" w:themeColor="text1"/>
          <w:sz w:val="24"/>
          <w:szCs w:val="24"/>
        </w:rPr>
        <w:t>o seja indeferido, pede que o edital seja refo</w:t>
      </w:r>
      <w:r w:rsidR="002B1623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>rmula</w:t>
      </w:r>
      <w:r w:rsidR="003A3851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2B1623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modificando </w:t>
      </w:r>
      <w:r w:rsidR="002B1623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>a modalidade pregão</w:t>
      </w:r>
      <w:r w:rsidR="00472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“melhor técnica” ou técnica e preço”.</w:t>
      </w:r>
    </w:p>
    <w:p w:rsidR="002B1623" w:rsidRPr="0005115D" w:rsidRDefault="002B1623" w:rsidP="002B162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100" w:rsidRPr="0005115D" w:rsidRDefault="00C31100" w:rsidP="00851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>Em apertada síntese, esta é a motivação consignada na peça impugnatória.</w:t>
      </w:r>
    </w:p>
    <w:p w:rsidR="00EF1B40" w:rsidRPr="0005115D" w:rsidRDefault="00EF1B40" w:rsidP="00851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100" w:rsidRPr="0005115D" w:rsidRDefault="00C31100" w:rsidP="0085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 – DA ANÁLISE</w:t>
      </w:r>
    </w:p>
    <w:p w:rsidR="001A062E" w:rsidRPr="0005115D" w:rsidRDefault="0085168D" w:rsidP="0085168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A062E"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623" w:rsidRPr="0005115D" w:rsidRDefault="002B1623" w:rsidP="00C36901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A pregoeira submeteu a peça impugnatória a SMTT (demandante) que nos autos administrativos indicou a modalidade licitatória, </w:t>
      </w:r>
      <w:r w:rsidR="00621655" w:rsidRPr="0005115D">
        <w:rPr>
          <w:rFonts w:ascii="Times New Roman" w:hAnsi="Times New Roman" w:cs="Times New Roman"/>
          <w:color w:val="000000"/>
          <w:sz w:val="24"/>
          <w:szCs w:val="24"/>
        </w:rPr>
        <w:t>e por essa auxiliada, passa a transcorrer sobre a</w:t>
      </w:r>
      <w:r w:rsidR="00472D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21655"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 alegação da impugnante:</w:t>
      </w:r>
    </w:p>
    <w:p w:rsidR="00621655" w:rsidRPr="0005115D" w:rsidRDefault="00621655" w:rsidP="0062165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9AF" w:rsidRPr="005109AF" w:rsidRDefault="00472D0C" w:rsidP="005054B2">
      <w:pPr>
        <w:pStyle w:val="PargrafodaLista"/>
        <w:numPr>
          <w:ilvl w:val="0"/>
          <w:numId w:val="27"/>
        </w:numPr>
        <w:shd w:val="clear" w:color="auto" w:fill="FFFFFF"/>
        <w:spacing w:after="0" w:line="240" w:lineRule="auto"/>
        <w:ind w:hanging="29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 w:rsidRPr="005054B2">
        <w:rPr>
          <w:rFonts w:ascii="Times New Roman" w:hAnsi="Times New Roman" w:cs="Times New Roman"/>
          <w:sz w:val="24"/>
          <w:szCs w:val="24"/>
        </w:rPr>
        <w:t>Quanto a alegação de</w:t>
      </w:r>
      <w:r w:rsidR="00E74FAA" w:rsidRPr="005054B2">
        <w:rPr>
          <w:rFonts w:ascii="Times New Roman" w:hAnsi="Times New Roman" w:cs="Times New Roman"/>
          <w:sz w:val="24"/>
          <w:szCs w:val="24"/>
        </w:rPr>
        <w:t xml:space="preserve"> inexigibilidade de contratação, informamos que o fato da impugnante ter sido prestadora de serviço para a Prefeitura de Maceió na elaboração dos estudos que embasaram as atuais Concessões de Serviço de </w:t>
      </w:r>
      <w:r w:rsidR="00E74FAA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Transporte Coletivo sobre Pneus de Maceió</w:t>
      </w:r>
      <w:r w:rsidR="005054B2" w:rsidRPr="005054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054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sclarecemos que consoante </w:t>
      </w:r>
      <w:r w:rsidR="005054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própria citação do artigo 25, incisos I e II da Lei nº 8.666/1993, em que pese o termo "decorrente de desempenho anterior", </w:t>
      </w:r>
      <w:r w:rsidR="00510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esclarecemos 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qualquer </w:t>
      </w:r>
      <w:r w:rsidR="005054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interessada 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concorra ao certame</w:t>
      </w:r>
      <w:r w:rsidR="005054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desde que atenda as exigências do edital</w:t>
      </w:r>
      <w:r w:rsidR="00510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possua esse desempenho anterior com </w:t>
      </w:r>
      <w:r w:rsidR="00510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</w:t>
      </w:r>
      <w:r w:rsidR="00510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demonstre, no momento da sessão, 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109AF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equipe </w:t>
      </w:r>
      <w:r w:rsidR="00510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técnica </w:t>
      </w:r>
      <w:r w:rsidR="005109AF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tal qualificação</w:t>
      </w:r>
      <w:r w:rsidR="00510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(conforme inciso II do art. 30 da Lei Federal 8.666/93)</w:t>
      </w:r>
      <w:r w:rsidR="00DD3D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510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estará apta a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concorrer</w:t>
      </w:r>
      <w:r w:rsidR="00510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</w:t>
      </w:r>
      <w:r w:rsidR="005109AF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certame </w:t>
      </w:r>
      <w:r w:rsidR="00510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5109AF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prestar o serviço co</w:t>
      </w:r>
      <w:r w:rsidR="00510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nforme os interesses da Contratante</w:t>
      </w:r>
      <w:r w:rsidR="005109AF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109AF" w:rsidRDefault="005109AF" w:rsidP="005109AF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B2" w:rsidRDefault="005054B2" w:rsidP="00DD3D18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Observa-se, ainda, que o objeto refere-se a uma análise da atual situação do Sistema de Transporte Coletivo sobre Pneus de Maceió em decorrência do que fora proposto no Edital</w:t>
      </w:r>
      <w:r w:rsidR="00DD3D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 01/2015</w:t>
      </w:r>
      <w:r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qual foi balizado em cenário pretérito e não considerando uma análise econômica regional e/ou nacional, tendo em vista que essas situações impactam diretamente na oferta de serviço devido a demanda. Des</w:t>
      </w:r>
      <w:r w:rsidR="00DD3D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modo, o serviço</w:t>
      </w:r>
      <w:r w:rsidR="00DD3D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está sendo licitado</w:t>
      </w:r>
      <w:r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prestado através de análises de documentos e estudo da rede,</w:t>
      </w:r>
      <w:r w:rsidR="00DD3D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que é notório que qualquer e</w:t>
      </w:r>
      <w:r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mpresa, desde que atendid</w:t>
      </w:r>
      <w:r w:rsidR="00DD3D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r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determinações taxativas do Edital</w:t>
      </w:r>
      <w:r w:rsidR="00DD3D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PE nº 42/2019</w:t>
      </w:r>
      <w:r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estejam aptas para atuar com eficiência. </w:t>
      </w:r>
    </w:p>
    <w:p w:rsidR="00DD3D18" w:rsidRPr="00997116" w:rsidRDefault="00DD3D18" w:rsidP="00DD3D18">
      <w:pPr>
        <w:shd w:val="clear" w:color="auto" w:fill="FFFFFF"/>
        <w:spacing w:after="0" w:line="240" w:lineRule="auto"/>
        <w:ind w:left="708" w:firstLine="12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:rsidR="005054B2" w:rsidRPr="00997116" w:rsidRDefault="00DD3D18" w:rsidP="00DD3D18">
      <w:pPr>
        <w:shd w:val="clear" w:color="auto" w:fill="FFFFFF"/>
        <w:spacing w:after="0" w:line="240" w:lineRule="auto"/>
        <w:ind w:left="709" w:firstLine="11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Assim, resta claro que quaisquer interessada 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dispo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nha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qualificações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ora 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exigidas tem capacidade para, de posse dos materiais constantes no próprio Edital,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bem como 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nos dados surgidos posteriormente (decorrentes das atividades corriqueiras de Transporte Coletivo) tem total capacidade para </w:t>
      </w:r>
      <w:r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reestudar</w:t>
      </w:r>
      <w:r w:rsidR="005054B2" w:rsidRPr="00997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apresentar propostas. </w:t>
      </w:r>
    </w:p>
    <w:p w:rsidR="00472D0C" w:rsidRDefault="00472D0C" w:rsidP="0047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0C" w:rsidRDefault="00472D0C" w:rsidP="0047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0C" w:rsidRPr="00472D0C" w:rsidRDefault="00472D0C" w:rsidP="0047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55" w:rsidRPr="0005115D" w:rsidRDefault="00DD3D18" w:rsidP="00C36901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Quanto a modalidade pregão “pregão eletrônico”, a Lei 10.520/2002 </w:t>
      </w:r>
      <w:r w:rsidR="00621655" w:rsidRPr="0005115D">
        <w:rPr>
          <w:rFonts w:ascii="Times New Roman" w:hAnsi="Times New Roman" w:cs="Times New Roman"/>
          <w:color w:val="000000"/>
          <w:sz w:val="24"/>
          <w:szCs w:val="24"/>
        </w:rPr>
        <w:t>delineia o que se considera serviço comum em seu art. 1º, parágrafo único: “Consideram-se bens e serviços comuns, para os fins e efeitos deste artigo, aqueles cujos padrões de desempenho e qualidade possam ser objetivamente definidos pelo edital, por meio de especificações usuais no mercado</w:t>
      </w:r>
      <w:r w:rsidR="00621655" w:rsidRPr="0005115D">
        <w:rPr>
          <w:rFonts w:ascii="Times New Roman" w:hAnsi="Times New Roman" w:cs="Times New Roman"/>
          <w:sz w:val="24"/>
          <w:szCs w:val="24"/>
        </w:rPr>
        <w:t>.”</w:t>
      </w:r>
    </w:p>
    <w:p w:rsidR="00621655" w:rsidRPr="0005115D" w:rsidRDefault="00621655" w:rsidP="00621655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01" w:rsidRPr="0005115D" w:rsidRDefault="00621655" w:rsidP="00D93E8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color w:val="000000"/>
          <w:sz w:val="24"/>
          <w:szCs w:val="24"/>
        </w:rPr>
        <w:t>O objeto da</w:t>
      </w:r>
      <w:r w:rsidR="00C36901"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 citada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 licitação é a </w:t>
      </w:r>
      <w:r w:rsidR="00C36901" w:rsidRPr="0005115D">
        <w:rPr>
          <w:rFonts w:ascii="Times New Roman" w:hAnsi="Times New Roman" w:cs="Times New Roman"/>
          <w:color w:val="000000"/>
          <w:sz w:val="24"/>
          <w:szCs w:val="24"/>
        </w:rPr>
        <w:t>“...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contratação de empresa especializada na prestação de serviços de consultoria e apoio técnico necessários à execução do estudo do equilíbrio econômico-financeiro dos contratos de concessão dos serviços de transporte público coletivo sobre pneus.</w:t>
      </w:r>
      <w:r w:rsidR="00C36901" w:rsidRPr="0005115D">
        <w:rPr>
          <w:rFonts w:ascii="Times New Roman" w:hAnsi="Times New Roman" w:cs="Times New Roman"/>
          <w:color w:val="000000"/>
          <w:sz w:val="24"/>
          <w:szCs w:val="24"/>
        </w:rPr>
        <w:t>..”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901" w:rsidRPr="0005115D" w:rsidRDefault="00C36901" w:rsidP="00C36901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01" w:rsidRPr="0005115D" w:rsidRDefault="00C36901" w:rsidP="00D93E8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Nas considerações de Marçal </w:t>
      </w:r>
      <w:proofErr w:type="spellStart"/>
      <w:r w:rsidRPr="0005115D">
        <w:rPr>
          <w:rFonts w:ascii="Times New Roman" w:hAnsi="Times New Roman" w:cs="Times New Roman"/>
          <w:color w:val="000000"/>
          <w:sz w:val="24"/>
          <w:szCs w:val="24"/>
        </w:rPr>
        <w:t>Justen</w:t>
      </w:r>
      <w:proofErr w:type="spellEnd"/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 Filho:</w:t>
      </w:r>
    </w:p>
    <w:p w:rsidR="00C36901" w:rsidRPr="0005115D" w:rsidRDefault="00C36901" w:rsidP="00B254B6">
      <w:pPr>
        <w:spacing w:line="240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“Bem ou serviço comum é aquele integrante de um gênero uniforme ou cujas características técnicas são irrelevantes para a satisfação das necessidades da </w:t>
      </w:r>
      <w:r w:rsidRPr="0005115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Administração Pública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” (Pregão – Comentários à Legislação do Pregão comum </w:t>
      </w:r>
      <w:proofErr w:type="gramStart"/>
      <w:r w:rsidRPr="0005115D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 Eletrônico, 6. ed., Dialética, 2013, p. 34) </w:t>
      </w:r>
    </w:p>
    <w:p w:rsidR="00C36901" w:rsidRPr="0005115D" w:rsidRDefault="00C36901" w:rsidP="0039082A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Na obra Licitações e contratos: orientações e jurisprudência do TCU (Tribunal de Contas da União. – 4. ed. rev., atual. e </w:t>
      </w:r>
      <w:proofErr w:type="spellStart"/>
      <w:r w:rsidRPr="0005115D">
        <w:rPr>
          <w:rFonts w:ascii="Times New Roman" w:hAnsi="Times New Roman" w:cs="Times New Roman"/>
          <w:color w:val="000000"/>
          <w:sz w:val="24"/>
          <w:szCs w:val="24"/>
        </w:rPr>
        <w:t>ampl</w:t>
      </w:r>
      <w:proofErr w:type="spellEnd"/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. – Brasília: TCU, </w:t>
      </w:r>
      <w:proofErr w:type="spellStart"/>
      <w:r w:rsidRPr="0005115D">
        <w:rPr>
          <w:rFonts w:ascii="Times New Roman" w:hAnsi="Times New Roman" w:cs="Times New Roman"/>
          <w:color w:val="000000"/>
          <w:sz w:val="24"/>
          <w:szCs w:val="24"/>
        </w:rPr>
        <w:t>Secretaria-Geral</w:t>
      </w:r>
      <w:proofErr w:type="spellEnd"/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 da Presidência: Senado Federal, Secretaria Especial de Editoração e Publicações, 2010), verifica-se que:</w:t>
      </w:r>
    </w:p>
    <w:p w:rsidR="00C36901" w:rsidRPr="0005115D" w:rsidRDefault="0039082A" w:rsidP="00B254B6">
      <w:pPr>
        <w:widowControl w:val="0"/>
        <w:ind w:left="212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i/>
          <w:color w:val="000000"/>
          <w:sz w:val="24"/>
          <w:szCs w:val="24"/>
        </w:rPr>
        <w:t>‘</w:t>
      </w:r>
      <w:r w:rsidR="00C36901" w:rsidRPr="0005115D">
        <w:rPr>
          <w:rFonts w:ascii="Times New Roman" w:hAnsi="Times New Roman" w:cs="Times New Roman"/>
          <w:i/>
          <w:color w:val="000000"/>
          <w:sz w:val="24"/>
          <w:szCs w:val="24"/>
        </w:rPr>
        <w:t>‘Bem ou serviço será comum quando for possível estabelecer, para efeito de julgamento das propostas, por intermédio de especificações utilizadas no mercado, padrões de qualidade e desempenho peculiares ao objeto. O estabelecimento desses padrões permite ao agente público analisar, medir ou comparar os produtos entre si e decidir pelo melhor preço.’</w:t>
      </w:r>
      <w:r w:rsidRPr="0005115D">
        <w:rPr>
          <w:rFonts w:ascii="Times New Roman" w:hAnsi="Times New Roman" w:cs="Times New Roman"/>
          <w:i/>
          <w:color w:val="000000"/>
          <w:sz w:val="24"/>
          <w:szCs w:val="24"/>
        </w:rPr>
        <w:t>’</w:t>
      </w:r>
    </w:p>
    <w:p w:rsidR="00B254B6" w:rsidRPr="0005115D" w:rsidRDefault="00B254B6" w:rsidP="00D93E8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Quanto a alegação de </w:t>
      </w:r>
      <w:r w:rsidR="0005115D" w:rsidRPr="0005115D">
        <w:rPr>
          <w:rFonts w:ascii="Times New Roman" w:hAnsi="Times New Roman" w:cs="Times New Roman"/>
          <w:color w:val="000000"/>
          <w:sz w:val="24"/>
          <w:szCs w:val="24"/>
        </w:rPr>
        <w:t>“...</w:t>
      </w:r>
      <w:r w:rsidR="00D93E86">
        <w:rPr>
          <w:rFonts w:ascii="Times New Roman" w:hAnsi="Times New Roman" w:cs="Times New Roman"/>
          <w:b/>
          <w:i/>
          <w:color w:val="000000"/>
          <w:sz w:val="24"/>
          <w:szCs w:val="24"/>
        </w:rPr>
        <w:t>complexidade técnica</w:t>
      </w:r>
      <w:r w:rsidR="0005115D" w:rsidRPr="0005115D">
        <w:rPr>
          <w:rFonts w:ascii="Times New Roman" w:hAnsi="Times New Roman" w:cs="Times New Roman"/>
          <w:b/>
          <w:i/>
          <w:color w:val="000000"/>
          <w:sz w:val="24"/>
          <w:szCs w:val="24"/>
        </w:rPr>
        <w:t>...”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, deve-se ressaltar que o interesse da Administração é de que os componentes da equipe técnica da futura contratada detenham certo grau de formação e experiência na área, como consta no edital e no termo de referência, estabelecendo-se o perfil profissional necessário para prestação dos serviços.</w:t>
      </w:r>
      <w:r w:rsidR="0005115D"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Assim, a qualificação mínima requerida do profissional deverá compor mais uma especificação do objeto a ser contrat</w:t>
      </w:r>
      <w:r w:rsidR="0005115D" w:rsidRPr="0005115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do, não sendo justificativa para adoção do tipo de licitação técnica e preço. Quer-se dizer que a capacitação exigida não é determinante para afastar do serviço a designação de comum, nem o caracteriza como tendo natureza predominantemente intelectual, conforme entendimento </w:t>
      </w:r>
      <w:r w:rsidR="0043125B"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de vários Tribunais, a exemplo do Acórdão 1046/2014 TCU – Plenário, sobre relatoria do Ministro Benjamin </w:t>
      </w:r>
      <w:proofErr w:type="spellStart"/>
      <w:r w:rsidR="0043125B" w:rsidRPr="0005115D">
        <w:rPr>
          <w:rFonts w:ascii="Times New Roman" w:hAnsi="Times New Roman" w:cs="Times New Roman"/>
          <w:color w:val="000000"/>
          <w:sz w:val="24"/>
          <w:szCs w:val="24"/>
        </w:rPr>
        <w:t>Zymler</w:t>
      </w:r>
      <w:proofErr w:type="spellEnd"/>
      <w:r w:rsidR="0043125B" w:rsidRPr="00051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125B" w:rsidRPr="0005115D" w:rsidRDefault="0043125B" w:rsidP="0043125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4B6" w:rsidRPr="0005115D" w:rsidRDefault="00B254B6" w:rsidP="00B254B6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color w:val="000000"/>
          <w:sz w:val="24"/>
          <w:szCs w:val="24"/>
        </w:rPr>
        <w:t>Dessa forma, fica demostrado que o objeto da pretensa contratação é um serviço comum, pois, como descrito no Termo de Referência, os serviços a serem prestados são claramente determinados, não havendo necessidade de trabalho intelectual propriamente dito. O embasamento para a conclusão de tal consultoria será pautado nas cláusulas contratuais, bem como em dados fornecidos pela superintendência Municipal de Transportes e Trânsito e as empresas concessionárias que operam o sistema de transporte coletivo.</w:t>
      </w:r>
    </w:p>
    <w:p w:rsidR="00B254B6" w:rsidRPr="0005115D" w:rsidRDefault="00B254B6" w:rsidP="0043125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62E" w:rsidRPr="0005115D" w:rsidRDefault="001A062E" w:rsidP="0085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68E0" w:rsidRPr="0005115D" w:rsidRDefault="009268E0" w:rsidP="0085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 – DA DECISÃO</w:t>
      </w:r>
    </w:p>
    <w:p w:rsidR="009268E0" w:rsidRPr="0005115D" w:rsidRDefault="009268E0" w:rsidP="0085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25B" w:rsidRPr="0005115D" w:rsidRDefault="0043125B" w:rsidP="00431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color w:val="000000"/>
          <w:sz w:val="24"/>
          <w:szCs w:val="24"/>
        </w:rPr>
        <w:t>Por todo o exposto, decidimos indeferir a impugnação apresentada ao passo que informamos que não haverá alteração no edital e fica mantida a data e hora limites para apresentação de propostas e abertura da sessão pública de disputa de lances.</w:t>
      </w:r>
    </w:p>
    <w:p w:rsidR="00C31100" w:rsidRPr="0005115D" w:rsidRDefault="00C31100" w:rsidP="0085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100" w:rsidRPr="0005115D" w:rsidRDefault="00C31100" w:rsidP="0085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100" w:rsidRPr="0005115D" w:rsidRDefault="00C31100" w:rsidP="0085168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Maceió, </w:t>
      </w:r>
      <w:r w:rsidR="0043125B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93E8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 w:rsidR="00EF1B40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3125B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maio </w:t>
      </w: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066AE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AF1FD6" w:rsidRPr="0005115D" w:rsidRDefault="00AF1FD6" w:rsidP="0085168D">
      <w:pPr>
        <w:autoSpaceDE w:val="0"/>
        <w:autoSpaceDN w:val="0"/>
        <w:adjustRightInd w:val="0"/>
        <w:spacing w:after="0" w:line="240" w:lineRule="auto"/>
        <w:ind w:left="426" w:right="-8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FD6" w:rsidRPr="0005115D" w:rsidRDefault="00AF1FD6" w:rsidP="0085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Cristina de Oliveira Barbosa</w:t>
      </w:r>
    </w:p>
    <w:p w:rsidR="00AF1FD6" w:rsidRPr="0005115D" w:rsidRDefault="00AF1FD6" w:rsidP="0085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Pregoeir</w:t>
      </w:r>
      <w:r w:rsidR="001361B9" w:rsidRPr="000511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0511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/ARSER</w:t>
      </w:r>
    </w:p>
    <w:p w:rsidR="00D45CFA" w:rsidRPr="0005115D" w:rsidRDefault="00AF1FD6" w:rsidP="00051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Mat. 19.170-1</w:t>
      </w:r>
    </w:p>
    <w:sectPr w:rsidR="00D45CFA" w:rsidRPr="0005115D" w:rsidSect="00E04195">
      <w:headerReference w:type="default" r:id="rId8"/>
      <w:pgSz w:w="12240" w:h="15840"/>
      <w:pgMar w:top="1417" w:right="1183" w:bottom="141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C5" w:rsidRDefault="009905C5" w:rsidP="006D7241">
      <w:pPr>
        <w:spacing w:after="0" w:line="240" w:lineRule="auto"/>
      </w:pPr>
      <w:r>
        <w:separator/>
      </w:r>
    </w:p>
  </w:endnote>
  <w:endnote w:type="continuationSeparator" w:id="0">
    <w:p w:rsidR="009905C5" w:rsidRDefault="009905C5" w:rsidP="006D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, 'Arial Unicode MS'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C5" w:rsidRDefault="009905C5" w:rsidP="006D7241">
      <w:pPr>
        <w:spacing w:after="0" w:line="240" w:lineRule="auto"/>
      </w:pPr>
      <w:r>
        <w:separator/>
      </w:r>
    </w:p>
  </w:footnote>
  <w:footnote w:type="continuationSeparator" w:id="0">
    <w:p w:rsidR="009905C5" w:rsidRDefault="009905C5" w:rsidP="006D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A0" w:rsidRDefault="00D45CA0" w:rsidP="00D45CA0">
    <w:pPr>
      <w:pStyle w:val="Ttulo3"/>
      <w:jc w:val="center"/>
      <w:rPr>
        <w:rFonts w:ascii="Calibri" w:hAnsi="Calibri"/>
        <w:bCs/>
        <w:iCs/>
        <w:sz w:val="20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ED67533" wp14:editId="245AF807">
          <wp:simplePos x="0" y="0"/>
          <wp:positionH relativeFrom="margin">
            <wp:align>center</wp:align>
          </wp:positionH>
          <wp:positionV relativeFrom="paragraph">
            <wp:posOffset>-117448</wp:posOffset>
          </wp:positionV>
          <wp:extent cx="1933575" cy="498475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5C5" w:rsidRDefault="009905C5">
    <w:pPr>
      <w:pStyle w:val="Cabealho"/>
    </w:pPr>
  </w:p>
  <w:p w:rsidR="009905C5" w:rsidRDefault="009905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25F"/>
    <w:multiLevelType w:val="hybridMultilevel"/>
    <w:tmpl w:val="89145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445511"/>
    <w:multiLevelType w:val="hybridMultilevel"/>
    <w:tmpl w:val="88604F04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0E204C6"/>
    <w:multiLevelType w:val="hybridMultilevel"/>
    <w:tmpl w:val="72C6AA08"/>
    <w:lvl w:ilvl="0" w:tplc="0416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21E7AB1"/>
    <w:multiLevelType w:val="hybridMultilevel"/>
    <w:tmpl w:val="F2BC9A3A"/>
    <w:lvl w:ilvl="0" w:tplc="439AE2CA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7" w:hanging="360"/>
      </w:pPr>
    </w:lvl>
    <w:lvl w:ilvl="2" w:tplc="0416001B" w:tentative="1">
      <w:start w:val="1"/>
      <w:numFmt w:val="lowerRoman"/>
      <w:lvlText w:val="%3."/>
      <w:lvlJc w:val="right"/>
      <w:pPr>
        <w:ind w:left="1927" w:hanging="180"/>
      </w:pPr>
    </w:lvl>
    <w:lvl w:ilvl="3" w:tplc="0416000F" w:tentative="1">
      <w:start w:val="1"/>
      <w:numFmt w:val="decimal"/>
      <w:lvlText w:val="%4."/>
      <w:lvlJc w:val="left"/>
      <w:pPr>
        <w:ind w:left="2647" w:hanging="360"/>
      </w:pPr>
    </w:lvl>
    <w:lvl w:ilvl="4" w:tplc="04160019" w:tentative="1">
      <w:start w:val="1"/>
      <w:numFmt w:val="lowerLetter"/>
      <w:lvlText w:val="%5."/>
      <w:lvlJc w:val="left"/>
      <w:pPr>
        <w:ind w:left="3367" w:hanging="360"/>
      </w:pPr>
    </w:lvl>
    <w:lvl w:ilvl="5" w:tplc="0416001B" w:tentative="1">
      <w:start w:val="1"/>
      <w:numFmt w:val="lowerRoman"/>
      <w:lvlText w:val="%6."/>
      <w:lvlJc w:val="right"/>
      <w:pPr>
        <w:ind w:left="4087" w:hanging="180"/>
      </w:pPr>
    </w:lvl>
    <w:lvl w:ilvl="6" w:tplc="0416000F" w:tentative="1">
      <w:start w:val="1"/>
      <w:numFmt w:val="decimal"/>
      <w:lvlText w:val="%7."/>
      <w:lvlJc w:val="left"/>
      <w:pPr>
        <w:ind w:left="4807" w:hanging="360"/>
      </w:pPr>
    </w:lvl>
    <w:lvl w:ilvl="7" w:tplc="04160019" w:tentative="1">
      <w:start w:val="1"/>
      <w:numFmt w:val="lowerLetter"/>
      <w:lvlText w:val="%8."/>
      <w:lvlJc w:val="left"/>
      <w:pPr>
        <w:ind w:left="5527" w:hanging="360"/>
      </w:pPr>
    </w:lvl>
    <w:lvl w:ilvl="8" w:tplc="041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0CD1531A"/>
    <w:multiLevelType w:val="hybridMultilevel"/>
    <w:tmpl w:val="9726294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641231"/>
    <w:multiLevelType w:val="hybridMultilevel"/>
    <w:tmpl w:val="16AAF8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F3FDE"/>
    <w:multiLevelType w:val="hybridMultilevel"/>
    <w:tmpl w:val="31E23AAA"/>
    <w:lvl w:ilvl="0" w:tplc="61DA805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E6966BB"/>
    <w:multiLevelType w:val="hybridMultilevel"/>
    <w:tmpl w:val="CA62BDE6"/>
    <w:lvl w:ilvl="0" w:tplc="04160013">
      <w:start w:val="1"/>
      <w:numFmt w:val="upperRoman"/>
      <w:lvlText w:val="%1."/>
      <w:lvlJc w:val="righ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990366D"/>
    <w:multiLevelType w:val="hybridMultilevel"/>
    <w:tmpl w:val="0C662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FAD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6664"/>
    <w:multiLevelType w:val="hybridMultilevel"/>
    <w:tmpl w:val="82EE8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70DE5"/>
    <w:multiLevelType w:val="hybridMultilevel"/>
    <w:tmpl w:val="6FA0C05C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41592273"/>
    <w:multiLevelType w:val="hybridMultilevel"/>
    <w:tmpl w:val="9EEC7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86EF3"/>
    <w:multiLevelType w:val="hybridMultilevel"/>
    <w:tmpl w:val="CD1A05B6"/>
    <w:lvl w:ilvl="0" w:tplc="542A5C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284D60"/>
    <w:multiLevelType w:val="hybridMultilevel"/>
    <w:tmpl w:val="AEEC30AE"/>
    <w:lvl w:ilvl="0" w:tplc="7C2E902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51945E8F"/>
    <w:multiLevelType w:val="hybridMultilevel"/>
    <w:tmpl w:val="ED126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04131"/>
    <w:multiLevelType w:val="hybridMultilevel"/>
    <w:tmpl w:val="FE2C961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26A0110"/>
    <w:multiLevelType w:val="hybridMultilevel"/>
    <w:tmpl w:val="DEA881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F213AA"/>
    <w:multiLevelType w:val="hybridMultilevel"/>
    <w:tmpl w:val="B9CEC5B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56D015A"/>
    <w:multiLevelType w:val="hybridMultilevel"/>
    <w:tmpl w:val="4E7E9F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5AA8388F"/>
    <w:multiLevelType w:val="hybridMultilevel"/>
    <w:tmpl w:val="0ACC7F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763FC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B6966"/>
    <w:multiLevelType w:val="hybridMultilevel"/>
    <w:tmpl w:val="9AE4A9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51DAC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991"/>
    <w:multiLevelType w:val="hybridMultilevel"/>
    <w:tmpl w:val="C9DEFA8A"/>
    <w:lvl w:ilvl="0" w:tplc="AB903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A595B"/>
    <w:multiLevelType w:val="multilevel"/>
    <w:tmpl w:val="8D9C0DC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  <w:b/>
      </w:rPr>
    </w:lvl>
  </w:abstractNum>
  <w:abstractNum w:abstractNumId="26">
    <w:nsid w:val="7687717C"/>
    <w:multiLevelType w:val="hybridMultilevel"/>
    <w:tmpl w:val="82EE8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C23CC"/>
    <w:multiLevelType w:val="hybridMultilevel"/>
    <w:tmpl w:val="152808B4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12"/>
  </w:num>
  <w:num w:numId="5">
    <w:abstractNumId w:val="21"/>
  </w:num>
  <w:num w:numId="6">
    <w:abstractNumId w:val="23"/>
  </w:num>
  <w:num w:numId="7">
    <w:abstractNumId w:val="9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16"/>
  </w:num>
  <w:num w:numId="13">
    <w:abstractNumId w:val="27"/>
  </w:num>
  <w:num w:numId="14">
    <w:abstractNumId w:val="19"/>
  </w:num>
  <w:num w:numId="15">
    <w:abstractNumId w:val="8"/>
  </w:num>
  <w:num w:numId="16">
    <w:abstractNumId w:val="0"/>
  </w:num>
  <w:num w:numId="17">
    <w:abstractNumId w:val="20"/>
  </w:num>
  <w:num w:numId="18">
    <w:abstractNumId w:val="11"/>
  </w:num>
  <w:num w:numId="19">
    <w:abstractNumId w:val="4"/>
  </w:num>
  <w:num w:numId="20">
    <w:abstractNumId w:val="15"/>
  </w:num>
  <w:num w:numId="21">
    <w:abstractNumId w:val="13"/>
  </w:num>
  <w:num w:numId="22">
    <w:abstractNumId w:val="26"/>
  </w:num>
  <w:num w:numId="23">
    <w:abstractNumId w:val="22"/>
  </w:num>
  <w:num w:numId="24">
    <w:abstractNumId w:val="18"/>
  </w:num>
  <w:num w:numId="25">
    <w:abstractNumId w:val="1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1B"/>
    <w:rsid w:val="00000B76"/>
    <w:rsid w:val="00004F2F"/>
    <w:rsid w:val="00017BE5"/>
    <w:rsid w:val="00024A3A"/>
    <w:rsid w:val="00025615"/>
    <w:rsid w:val="00040984"/>
    <w:rsid w:val="0005115D"/>
    <w:rsid w:val="00051D1E"/>
    <w:rsid w:val="000525C5"/>
    <w:rsid w:val="000552BF"/>
    <w:rsid w:val="0008168A"/>
    <w:rsid w:val="00092D68"/>
    <w:rsid w:val="00096C5F"/>
    <w:rsid w:val="000A599F"/>
    <w:rsid w:val="00100CEC"/>
    <w:rsid w:val="00135993"/>
    <w:rsid w:val="001361B9"/>
    <w:rsid w:val="001469A3"/>
    <w:rsid w:val="00170826"/>
    <w:rsid w:val="001740B2"/>
    <w:rsid w:val="001918EA"/>
    <w:rsid w:val="0019268C"/>
    <w:rsid w:val="001A062E"/>
    <w:rsid w:val="001A337D"/>
    <w:rsid w:val="001B043F"/>
    <w:rsid w:val="001B089B"/>
    <w:rsid w:val="001B1B4F"/>
    <w:rsid w:val="001C0CCE"/>
    <w:rsid w:val="001C4FD0"/>
    <w:rsid w:val="001C5737"/>
    <w:rsid w:val="001D3C8E"/>
    <w:rsid w:val="002308CE"/>
    <w:rsid w:val="00237EEB"/>
    <w:rsid w:val="002612D8"/>
    <w:rsid w:val="00277780"/>
    <w:rsid w:val="00284740"/>
    <w:rsid w:val="002A1497"/>
    <w:rsid w:val="002B1623"/>
    <w:rsid w:val="002B3AD6"/>
    <w:rsid w:val="002B7726"/>
    <w:rsid w:val="002D1688"/>
    <w:rsid w:val="002E53C5"/>
    <w:rsid w:val="002F3304"/>
    <w:rsid w:val="002F6738"/>
    <w:rsid w:val="003040E8"/>
    <w:rsid w:val="00311369"/>
    <w:rsid w:val="00316019"/>
    <w:rsid w:val="00336E08"/>
    <w:rsid w:val="0036117D"/>
    <w:rsid w:val="00373F70"/>
    <w:rsid w:val="0038127A"/>
    <w:rsid w:val="0038602E"/>
    <w:rsid w:val="0039082A"/>
    <w:rsid w:val="0039319C"/>
    <w:rsid w:val="003A3851"/>
    <w:rsid w:val="003A6D9F"/>
    <w:rsid w:val="003B6306"/>
    <w:rsid w:val="003C1E11"/>
    <w:rsid w:val="003D3A71"/>
    <w:rsid w:val="003D7904"/>
    <w:rsid w:val="003E0A66"/>
    <w:rsid w:val="003F28BC"/>
    <w:rsid w:val="0043125B"/>
    <w:rsid w:val="00431F93"/>
    <w:rsid w:val="004467BE"/>
    <w:rsid w:val="00464E7B"/>
    <w:rsid w:val="00472D0C"/>
    <w:rsid w:val="004A0622"/>
    <w:rsid w:val="004A7886"/>
    <w:rsid w:val="004B59DE"/>
    <w:rsid w:val="004C01F2"/>
    <w:rsid w:val="004C0A19"/>
    <w:rsid w:val="004D3013"/>
    <w:rsid w:val="00502EFC"/>
    <w:rsid w:val="005054B2"/>
    <w:rsid w:val="005109AF"/>
    <w:rsid w:val="0051315D"/>
    <w:rsid w:val="0051372C"/>
    <w:rsid w:val="0052111B"/>
    <w:rsid w:val="0052214A"/>
    <w:rsid w:val="00524CC7"/>
    <w:rsid w:val="00526B6D"/>
    <w:rsid w:val="005374C4"/>
    <w:rsid w:val="00540061"/>
    <w:rsid w:val="00546E68"/>
    <w:rsid w:val="00570753"/>
    <w:rsid w:val="005713F6"/>
    <w:rsid w:val="00573224"/>
    <w:rsid w:val="0058788A"/>
    <w:rsid w:val="0059196C"/>
    <w:rsid w:val="00591CB9"/>
    <w:rsid w:val="00592495"/>
    <w:rsid w:val="005A508E"/>
    <w:rsid w:val="005A734F"/>
    <w:rsid w:val="005C66A3"/>
    <w:rsid w:val="005D6D9D"/>
    <w:rsid w:val="005E07B6"/>
    <w:rsid w:val="005E69FC"/>
    <w:rsid w:val="005E71E1"/>
    <w:rsid w:val="0060179A"/>
    <w:rsid w:val="006065D4"/>
    <w:rsid w:val="00621655"/>
    <w:rsid w:val="00643EAB"/>
    <w:rsid w:val="00666B48"/>
    <w:rsid w:val="00696813"/>
    <w:rsid w:val="006972C5"/>
    <w:rsid w:val="006B23DC"/>
    <w:rsid w:val="006B3563"/>
    <w:rsid w:val="006B4FED"/>
    <w:rsid w:val="006C35BA"/>
    <w:rsid w:val="006C5E8B"/>
    <w:rsid w:val="006D6BCE"/>
    <w:rsid w:val="006D7241"/>
    <w:rsid w:val="006E4CBE"/>
    <w:rsid w:val="006F1624"/>
    <w:rsid w:val="00716AD0"/>
    <w:rsid w:val="00731D90"/>
    <w:rsid w:val="0073776E"/>
    <w:rsid w:val="0074577C"/>
    <w:rsid w:val="007517DE"/>
    <w:rsid w:val="00752D54"/>
    <w:rsid w:val="00755C29"/>
    <w:rsid w:val="00776BF4"/>
    <w:rsid w:val="007906CC"/>
    <w:rsid w:val="0079487D"/>
    <w:rsid w:val="007D6589"/>
    <w:rsid w:val="0080335E"/>
    <w:rsid w:val="00810845"/>
    <w:rsid w:val="008200AD"/>
    <w:rsid w:val="00843526"/>
    <w:rsid w:val="00843836"/>
    <w:rsid w:val="0084680C"/>
    <w:rsid w:val="0085168D"/>
    <w:rsid w:val="00861EF0"/>
    <w:rsid w:val="008622D4"/>
    <w:rsid w:val="00870FC1"/>
    <w:rsid w:val="00882015"/>
    <w:rsid w:val="008914D2"/>
    <w:rsid w:val="00895A26"/>
    <w:rsid w:val="008A105B"/>
    <w:rsid w:val="008A370F"/>
    <w:rsid w:val="008B5EFF"/>
    <w:rsid w:val="008F208D"/>
    <w:rsid w:val="009066AE"/>
    <w:rsid w:val="00911CD6"/>
    <w:rsid w:val="009268E0"/>
    <w:rsid w:val="009359D0"/>
    <w:rsid w:val="009508EE"/>
    <w:rsid w:val="00953022"/>
    <w:rsid w:val="00953A46"/>
    <w:rsid w:val="0095527C"/>
    <w:rsid w:val="00974E28"/>
    <w:rsid w:val="009750B6"/>
    <w:rsid w:val="0098462C"/>
    <w:rsid w:val="009872CB"/>
    <w:rsid w:val="009905C5"/>
    <w:rsid w:val="00991CD1"/>
    <w:rsid w:val="009B4BFE"/>
    <w:rsid w:val="009C07C4"/>
    <w:rsid w:val="009C1939"/>
    <w:rsid w:val="009D0852"/>
    <w:rsid w:val="009D500C"/>
    <w:rsid w:val="009E7694"/>
    <w:rsid w:val="009F5AFC"/>
    <w:rsid w:val="00A01BE3"/>
    <w:rsid w:val="00A164AE"/>
    <w:rsid w:val="00A20A46"/>
    <w:rsid w:val="00A21872"/>
    <w:rsid w:val="00A25003"/>
    <w:rsid w:val="00A4596F"/>
    <w:rsid w:val="00A62FC2"/>
    <w:rsid w:val="00A94774"/>
    <w:rsid w:val="00AC02F3"/>
    <w:rsid w:val="00AE6C11"/>
    <w:rsid w:val="00AE6F8E"/>
    <w:rsid w:val="00AF1FD6"/>
    <w:rsid w:val="00AF20D0"/>
    <w:rsid w:val="00AF42FE"/>
    <w:rsid w:val="00B14FEA"/>
    <w:rsid w:val="00B22FF0"/>
    <w:rsid w:val="00B24B34"/>
    <w:rsid w:val="00B254B6"/>
    <w:rsid w:val="00B3568E"/>
    <w:rsid w:val="00B37ED2"/>
    <w:rsid w:val="00B419BD"/>
    <w:rsid w:val="00B61A35"/>
    <w:rsid w:val="00B8436D"/>
    <w:rsid w:val="00B87982"/>
    <w:rsid w:val="00B92484"/>
    <w:rsid w:val="00B962D8"/>
    <w:rsid w:val="00BB6773"/>
    <w:rsid w:val="00BC218E"/>
    <w:rsid w:val="00BC7012"/>
    <w:rsid w:val="00BE632A"/>
    <w:rsid w:val="00BF4525"/>
    <w:rsid w:val="00BF70D5"/>
    <w:rsid w:val="00BF79DA"/>
    <w:rsid w:val="00C2086B"/>
    <w:rsid w:val="00C22DEC"/>
    <w:rsid w:val="00C276D6"/>
    <w:rsid w:val="00C31100"/>
    <w:rsid w:val="00C31C0D"/>
    <w:rsid w:val="00C3300A"/>
    <w:rsid w:val="00C36901"/>
    <w:rsid w:val="00C62308"/>
    <w:rsid w:val="00C65D24"/>
    <w:rsid w:val="00C67DA9"/>
    <w:rsid w:val="00C72CA8"/>
    <w:rsid w:val="00C75028"/>
    <w:rsid w:val="00C86E6D"/>
    <w:rsid w:val="00C92301"/>
    <w:rsid w:val="00CB2291"/>
    <w:rsid w:val="00CB3327"/>
    <w:rsid w:val="00CB3A5D"/>
    <w:rsid w:val="00CD0EBE"/>
    <w:rsid w:val="00CF5279"/>
    <w:rsid w:val="00D01556"/>
    <w:rsid w:val="00D0461F"/>
    <w:rsid w:val="00D13F0B"/>
    <w:rsid w:val="00D14DAB"/>
    <w:rsid w:val="00D175D0"/>
    <w:rsid w:val="00D2425A"/>
    <w:rsid w:val="00D34579"/>
    <w:rsid w:val="00D45CA0"/>
    <w:rsid w:val="00D45CFA"/>
    <w:rsid w:val="00D63D31"/>
    <w:rsid w:val="00D72904"/>
    <w:rsid w:val="00D818E4"/>
    <w:rsid w:val="00D862C7"/>
    <w:rsid w:val="00D92808"/>
    <w:rsid w:val="00D93E86"/>
    <w:rsid w:val="00DA5CBF"/>
    <w:rsid w:val="00DB1D67"/>
    <w:rsid w:val="00DC0EE0"/>
    <w:rsid w:val="00DD3D18"/>
    <w:rsid w:val="00DF1487"/>
    <w:rsid w:val="00DF56CF"/>
    <w:rsid w:val="00E00591"/>
    <w:rsid w:val="00E04195"/>
    <w:rsid w:val="00E17454"/>
    <w:rsid w:val="00E23AFE"/>
    <w:rsid w:val="00E45839"/>
    <w:rsid w:val="00E67C6A"/>
    <w:rsid w:val="00E74FAA"/>
    <w:rsid w:val="00E7561A"/>
    <w:rsid w:val="00E837FC"/>
    <w:rsid w:val="00E87C37"/>
    <w:rsid w:val="00EB106F"/>
    <w:rsid w:val="00ED3922"/>
    <w:rsid w:val="00EE4D8A"/>
    <w:rsid w:val="00EF1B40"/>
    <w:rsid w:val="00F1600F"/>
    <w:rsid w:val="00F163F4"/>
    <w:rsid w:val="00F41DE1"/>
    <w:rsid w:val="00F53312"/>
    <w:rsid w:val="00F5428A"/>
    <w:rsid w:val="00F5503C"/>
    <w:rsid w:val="00F6495E"/>
    <w:rsid w:val="00F8116B"/>
    <w:rsid w:val="00F944C7"/>
    <w:rsid w:val="00FA3DD7"/>
    <w:rsid w:val="00FA5209"/>
    <w:rsid w:val="00FC49B0"/>
    <w:rsid w:val="00FD1171"/>
    <w:rsid w:val="00FD353A"/>
    <w:rsid w:val="00FD5477"/>
    <w:rsid w:val="00FD5A00"/>
    <w:rsid w:val="00FE2B47"/>
    <w:rsid w:val="00FE77A7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6A8ACC4-856A-4E5B-AD44-8F00B541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1B"/>
  </w:style>
  <w:style w:type="paragraph" w:styleId="Ttulo1">
    <w:name w:val="heading 1"/>
    <w:basedOn w:val="Normal"/>
    <w:next w:val="Normal"/>
    <w:link w:val="Ttulo1Char"/>
    <w:qFormat/>
    <w:rsid w:val="006D72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16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23AF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D7241"/>
    <w:rPr>
      <w:rFonts w:ascii="Arial" w:eastAsia="Times New Roman" w:hAnsi="Arial" w:cs="Arial"/>
      <w:b/>
      <w:i/>
      <w:sz w:val="1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D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241"/>
  </w:style>
  <w:style w:type="paragraph" w:styleId="Rodap">
    <w:name w:val="footer"/>
    <w:basedOn w:val="Normal"/>
    <w:link w:val="RodapChar"/>
    <w:uiPriority w:val="99"/>
    <w:unhideWhenUsed/>
    <w:rsid w:val="006D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241"/>
  </w:style>
  <w:style w:type="paragraph" w:styleId="Textodebalo">
    <w:name w:val="Balloon Text"/>
    <w:basedOn w:val="Normal"/>
    <w:link w:val="TextodebaloChar"/>
    <w:uiPriority w:val="99"/>
    <w:semiHidden/>
    <w:unhideWhenUsed/>
    <w:rsid w:val="006D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2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601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uiPriority w:val="99"/>
    <w:rsid w:val="00592495"/>
  </w:style>
  <w:style w:type="paragraph" w:customStyle="1" w:styleId="Estilopadro">
    <w:name w:val="Estilo padrão"/>
    <w:rsid w:val="00B61A35"/>
    <w:pPr>
      <w:widowControl w:val="0"/>
      <w:suppressAutoHyphens/>
      <w:spacing w:after="0" w:line="100" w:lineRule="atLeast"/>
      <w:textAlignment w:val="baseline"/>
    </w:pPr>
    <w:rPr>
      <w:rFonts w:ascii="Times New Roman" w:eastAsia="SimSun, 'Arial Unicode MS'" w:hAnsi="Times New Roman" w:cs="Mangal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B089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5C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73224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732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136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0789-4817-4C6D-8009-7A482358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1210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cristinao</dc:creator>
  <cp:lastModifiedBy>Cristina Barbosa</cp:lastModifiedBy>
  <cp:revision>3</cp:revision>
  <cp:lastPrinted>2019-04-29T17:35:00Z</cp:lastPrinted>
  <dcterms:created xsi:type="dcterms:W3CDTF">2019-05-06T12:32:00Z</dcterms:created>
  <dcterms:modified xsi:type="dcterms:W3CDTF">2019-05-06T14:31:00Z</dcterms:modified>
</cp:coreProperties>
</file>