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7C" w:rsidRPr="00052C7C" w:rsidRDefault="00052C7C" w:rsidP="00052C7C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sz w:val="24"/>
          <w:szCs w:val="24"/>
          <w:u w:val="single"/>
        </w:rPr>
        <w:t>TERMO DE REFERÊNCIA</w:t>
      </w:r>
    </w:p>
    <w:p w:rsidR="00052C7C" w:rsidRPr="00052C7C" w:rsidRDefault="00052C7C" w:rsidP="00052C7C">
      <w:pPr>
        <w:tabs>
          <w:tab w:val="left" w:pos="284"/>
        </w:tabs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>INTRODUÇÃO</w:t>
      </w:r>
    </w:p>
    <w:p w:rsidR="00052C7C" w:rsidRPr="0093252A" w:rsidRDefault="00052C7C" w:rsidP="00052C7C">
      <w:pPr>
        <w:numPr>
          <w:ilvl w:val="1"/>
          <w:numId w:val="39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52C7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Este documento tem o objetivo de reunir os elementos necessários e suficientes à caracterização do objeto a ser contratado, fornecendo subsídios para a montagem do plano de licitação e contrataç</w:t>
      </w:r>
      <w:r w:rsidR="00DC3D2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ão, conforme a Lei 10.520/2002.</w:t>
      </w:r>
    </w:p>
    <w:p w:rsidR="0093252A" w:rsidRPr="00052C7C" w:rsidRDefault="0093252A" w:rsidP="0093252A">
      <w:pPr>
        <w:spacing w:after="0" w:line="240" w:lineRule="auto"/>
        <w:ind w:left="39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>JUSTIFICATIVA</w:t>
      </w:r>
    </w:p>
    <w:p w:rsidR="00052C7C" w:rsidRDefault="00052C7C" w:rsidP="00052C7C">
      <w:pPr>
        <w:pStyle w:val="Ttulo"/>
        <w:numPr>
          <w:ilvl w:val="1"/>
          <w:numId w:val="39"/>
        </w:numPr>
        <w:spacing w:after="0"/>
        <w:rPr>
          <w:rFonts w:cs="Times New Roman"/>
          <w:b w:val="0"/>
          <w:szCs w:val="24"/>
        </w:rPr>
      </w:pPr>
      <w:bookmarkStart w:id="0" w:name="_Toc9327693"/>
      <w:bookmarkStart w:id="1" w:name="_Toc9327900"/>
      <w:bookmarkStart w:id="2" w:name="_Toc9328882"/>
      <w:r w:rsidRPr="00052C7C">
        <w:rPr>
          <w:rFonts w:cs="Times New Roman"/>
          <w:b w:val="0"/>
          <w:szCs w:val="24"/>
        </w:rPr>
        <w:t>Aquisição de 01 (uma) fragmentadora de papel para suprir a necessidade da Agência de Municipal de Regulação de Serviços Delegados de Maceió – ARSER.</w:t>
      </w:r>
      <w:bookmarkEnd w:id="0"/>
      <w:bookmarkEnd w:id="1"/>
      <w:bookmarkEnd w:id="2"/>
    </w:p>
    <w:p w:rsidR="0093252A" w:rsidRPr="0093252A" w:rsidRDefault="0093252A" w:rsidP="0093252A">
      <w:pPr>
        <w:spacing w:after="0"/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DO OBJETO </w:t>
      </w:r>
    </w:p>
    <w:p w:rsidR="00052C7C" w:rsidRPr="00052C7C" w:rsidRDefault="00052C7C" w:rsidP="00052C7C">
      <w:pPr>
        <w:pStyle w:val="Ttulo"/>
        <w:numPr>
          <w:ilvl w:val="1"/>
          <w:numId w:val="39"/>
        </w:numPr>
        <w:spacing w:after="0"/>
        <w:rPr>
          <w:rFonts w:cs="Times New Roman"/>
          <w:b w:val="0"/>
          <w:szCs w:val="24"/>
        </w:rPr>
      </w:pPr>
      <w:bookmarkStart w:id="3" w:name="_Toc9327695"/>
      <w:bookmarkStart w:id="4" w:name="_Toc9327902"/>
      <w:bookmarkStart w:id="5" w:name="_Toc9328884"/>
      <w:r w:rsidRPr="00052C7C">
        <w:rPr>
          <w:rFonts w:cs="Times New Roman"/>
          <w:b w:val="0"/>
          <w:szCs w:val="24"/>
        </w:rPr>
        <w:t>A fragmentadora será utilizada na rotina diária dos servidores para diminuir o excesso de papéis nos setores da ARSER, bem como na destruição de impressões no que se refere à necessidade de inviabilizar a leitura dos mesmos por terceiros;</w:t>
      </w:r>
      <w:bookmarkEnd w:id="3"/>
      <w:bookmarkEnd w:id="4"/>
      <w:bookmarkEnd w:id="5"/>
    </w:p>
    <w:p w:rsidR="00052C7C" w:rsidRPr="00052C7C" w:rsidRDefault="00052C7C" w:rsidP="00052C7C">
      <w:pPr>
        <w:pStyle w:val="Ttulo"/>
        <w:numPr>
          <w:ilvl w:val="1"/>
          <w:numId w:val="39"/>
        </w:numPr>
        <w:spacing w:after="0"/>
        <w:rPr>
          <w:rFonts w:cs="Times New Roman"/>
          <w:b w:val="0"/>
          <w:szCs w:val="24"/>
        </w:rPr>
      </w:pPr>
      <w:bookmarkStart w:id="6" w:name="_Toc9327696"/>
      <w:bookmarkStart w:id="7" w:name="_Toc9327903"/>
      <w:bookmarkStart w:id="8" w:name="_Toc9328885"/>
      <w:r w:rsidRPr="00052C7C">
        <w:rPr>
          <w:rFonts w:cs="Times New Roman"/>
          <w:b w:val="0"/>
          <w:szCs w:val="24"/>
        </w:rPr>
        <w:t>Manter a segurança em termos de confidencialidade de dados impressos em papéis a serem descartados;</w:t>
      </w:r>
      <w:bookmarkEnd w:id="6"/>
      <w:bookmarkEnd w:id="7"/>
      <w:bookmarkEnd w:id="8"/>
    </w:p>
    <w:p w:rsidR="00052C7C" w:rsidRPr="00052C7C" w:rsidRDefault="00052C7C" w:rsidP="00052C7C">
      <w:pPr>
        <w:numPr>
          <w:ilvl w:val="1"/>
          <w:numId w:val="39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>Melhorar a forma de descarte para reciclagem.</w:t>
      </w:r>
      <w:bookmarkStart w:id="9" w:name="_GoBack"/>
      <w:bookmarkEnd w:id="9"/>
    </w:p>
    <w:p w:rsidR="00052C7C" w:rsidRPr="00052C7C" w:rsidRDefault="00052C7C" w:rsidP="00052C7C">
      <w:pPr>
        <w:spacing w:after="0"/>
        <w:ind w:left="390"/>
        <w:rPr>
          <w:rFonts w:ascii="Times New Roman" w:hAnsi="Times New Roman" w:cs="Times New Roman"/>
          <w:sz w:val="24"/>
          <w:szCs w:val="24"/>
        </w:rPr>
      </w:pPr>
    </w:p>
    <w:p w:rsidR="00052C7C" w:rsidRPr="00052C7C" w:rsidRDefault="00052C7C" w:rsidP="00052C7C">
      <w:pPr>
        <w:pStyle w:val="Ttulo"/>
        <w:numPr>
          <w:ilvl w:val="0"/>
          <w:numId w:val="0"/>
        </w:numPr>
        <w:spacing w:after="0"/>
        <w:ind w:left="360"/>
        <w:rPr>
          <w:rFonts w:cs="Times New Roman"/>
          <w:szCs w:val="24"/>
        </w:rPr>
      </w:pPr>
      <w:r w:rsidRPr="00052C7C">
        <w:rPr>
          <w:rFonts w:cs="Times New Roman"/>
          <w:szCs w:val="24"/>
        </w:rPr>
        <w:t>ESPECIFICAÇÕES E QUANTIDADES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315"/>
        <w:gridCol w:w="1262"/>
        <w:gridCol w:w="1136"/>
      </w:tblGrid>
      <w:tr w:rsidR="00052C7C" w:rsidRPr="00052C7C" w:rsidTr="001175F1">
        <w:trPr>
          <w:trHeight w:val="369"/>
        </w:trPr>
        <w:tc>
          <w:tcPr>
            <w:tcW w:w="1814" w:type="dxa"/>
            <w:shd w:val="clear" w:color="auto" w:fill="E7E6E6"/>
            <w:vAlign w:val="center"/>
          </w:tcPr>
          <w:p w:rsidR="00052C7C" w:rsidRPr="00052C7C" w:rsidRDefault="00052C7C" w:rsidP="00052C7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2C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394" w:type="dxa"/>
            <w:shd w:val="clear" w:color="auto" w:fill="E7E6E6"/>
            <w:vAlign w:val="center"/>
          </w:tcPr>
          <w:p w:rsidR="00052C7C" w:rsidRPr="00052C7C" w:rsidRDefault="00052C7C" w:rsidP="00052C7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2C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DESCRIÇÃO DO PRODUTO</w:t>
            </w:r>
          </w:p>
        </w:tc>
        <w:tc>
          <w:tcPr>
            <w:tcW w:w="1276" w:type="dxa"/>
            <w:shd w:val="clear" w:color="auto" w:fill="E7E6E6"/>
            <w:vAlign w:val="center"/>
          </w:tcPr>
          <w:p w:rsidR="00052C7C" w:rsidRPr="00052C7C" w:rsidRDefault="00052C7C" w:rsidP="00052C7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2C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UND.</w:t>
            </w:r>
          </w:p>
        </w:tc>
        <w:tc>
          <w:tcPr>
            <w:tcW w:w="1138" w:type="dxa"/>
            <w:shd w:val="clear" w:color="auto" w:fill="E7E6E6"/>
            <w:vAlign w:val="center"/>
          </w:tcPr>
          <w:p w:rsidR="00052C7C" w:rsidRPr="00052C7C" w:rsidRDefault="00052C7C" w:rsidP="00052C7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52C7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QUANT</w:t>
            </w:r>
          </w:p>
        </w:tc>
      </w:tr>
      <w:tr w:rsidR="00052C7C" w:rsidRPr="00052C7C" w:rsidTr="001175F1">
        <w:tc>
          <w:tcPr>
            <w:tcW w:w="1814" w:type="dxa"/>
            <w:shd w:val="clear" w:color="auto" w:fill="auto"/>
            <w:vAlign w:val="center"/>
          </w:tcPr>
          <w:p w:rsidR="00052C7C" w:rsidRPr="00052C7C" w:rsidRDefault="00052C7C" w:rsidP="00052C7C">
            <w:pPr>
              <w:pStyle w:val="Subttulo"/>
              <w:rPr>
                <w:rFonts w:eastAsia="Calibri"/>
              </w:rPr>
            </w:pPr>
            <w:r w:rsidRPr="00052C7C">
              <w:rPr>
                <w:rFonts w:eastAsia="Calibri"/>
              </w:rPr>
              <w:t>01</w:t>
            </w:r>
          </w:p>
        </w:tc>
        <w:tc>
          <w:tcPr>
            <w:tcW w:w="4394" w:type="dxa"/>
            <w:shd w:val="clear" w:color="auto" w:fill="auto"/>
          </w:tcPr>
          <w:p w:rsidR="00052C7C" w:rsidRPr="00052C7C" w:rsidRDefault="00052C7C" w:rsidP="00052C7C">
            <w:pPr>
              <w:pStyle w:val="Subttulo"/>
              <w:rPr>
                <w:rFonts w:eastAsia="Calibri"/>
                <w:b/>
              </w:rPr>
            </w:pPr>
            <w:r w:rsidRPr="00052C7C">
              <w:rPr>
                <w:b/>
                <w:spacing w:val="-10"/>
                <w:kern w:val="28"/>
              </w:rPr>
              <w:t>Fragmentadora de papal com as seguintes características mínimas: Capacidade de fragmentação de 10 folhas, capacidade do cesto de até 17 litros, corte em partículas, capacidade de fragmentar também clipes, grampos no papel, cartão, CD/DVD, garantia de no mínimo de 1 Ano, com indicador de resfriamento, com baixo nível de ruído e segurança para operação e voltagem de 220V.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2C7C" w:rsidRPr="00052C7C" w:rsidRDefault="00052C7C" w:rsidP="00052C7C">
            <w:pPr>
              <w:pStyle w:val="Subttulo"/>
              <w:jc w:val="center"/>
              <w:rPr>
                <w:rFonts w:eastAsia="Calibri"/>
              </w:rPr>
            </w:pPr>
            <w:proofErr w:type="spellStart"/>
            <w:r w:rsidRPr="00052C7C">
              <w:rPr>
                <w:rFonts w:eastAsia="Calibri"/>
              </w:rPr>
              <w:t>Unid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:rsidR="00052C7C" w:rsidRPr="00052C7C" w:rsidRDefault="00052C7C" w:rsidP="00052C7C">
            <w:pPr>
              <w:pStyle w:val="Subttulo"/>
              <w:jc w:val="center"/>
              <w:rPr>
                <w:rFonts w:eastAsia="Calibri"/>
              </w:rPr>
            </w:pPr>
            <w:r w:rsidRPr="00052C7C">
              <w:rPr>
                <w:rFonts w:eastAsia="Calibri"/>
              </w:rPr>
              <w:t>01</w:t>
            </w:r>
          </w:p>
        </w:tc>
      </w:tr>
    </w:tbl>
    <w:p w:rsidR="00052C7C" w:rsidRPr="00052C7C" w:rsidRDefault="00052C7C" w:rsidP="00052C7C">
      <w:pPr>
        <w:spacing w:after="0"/>
        <w:ind w:left="390"/>
        <w:rPr>
          <w:rFonts w:ascii="Times New Roman" w:hAnsi="Times New Roman" w:cs="Times New Roman"/>
          <w:sz w:val="24"/>
          <w:szCs w:val="24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DA DOTAÇÃO ORÇAMENTÁRIA  </w:t>
      </w:r>
    </w:p>
    <w:p w:rsidR="00052C7C" w:rsidRPr="0093252A" w:rsidRDefault="00052C7C" w:rsidP="00052C7C">
      <w:pPr>
        <w:numPr>
          <w:ilvl w:val="1"/>
          <w:numId w:val="39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52C7C">
        <w:rPr>
          <w:rFonts w:ascii="Times New Roman" w:hAnsi="Times New Roman" w:cs="Times New Roman"/>
          <w:color w:val="00000A"/>
          <w:sz w:val="24"/>
          <w:szCs w:val="24"/>
          <w:lang w:eastAsia="pt-BR"/>
        </w:rPr>
        <w:t>As despesas ocorrerão por conta dos créditos orçamentários destinados à Agência Municipal de Regulação de Serviços Delegados para o exercício de 2019.</w:t>
      </w:r>
    </w:p>
    <w:p w:rsidR="0093252A" w:rsidRPr="00052C7C" w:rsidRDefault="0093252A" w:rsidP="0093252A">
      <w:pPr>
        <w:spacing w:after="0" w:line="240" w:lineRule="auto"/>
        <w:ind w:left="39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DAS CONDIÇÕES DE FORNECIMENTO </w:t>
      </w:r>
    </w:p>
    <w:p w:rsidR="00052C7C" w:rsidRPr="00052C7C" w:rsidRDefault="00052C7C" w:rsidP="00052C7C">
      <w:pPr>
        <w:numPr>
          <w:ilvl w:val="1"/>
          <w:numId w:val="39"/>
        </w:numPr>
        <w:spacing w:before="100" w:beforeAutospacing="1" w:after="0"/>
        <w:rPr>
          <w:rFonts w:ascii="Times New Roman" w:hAnsi="Times New Roman" w:cs="Times New Roman"/>
          <w:sz w:val="24"/>
          <w:szCs w:val="24"/>
          <w:lang w:eastAsia="pt-BR"/>
        </w:rPr>
      </w:pPr>
      <w:r w:rsidRPr="00052C7C">
        <w:rPr>
          <w:rFonts w:ascii="Times New Roman" w:hAnsi="Times New Roman" w:cs="Times New Roman"/>
          <w:color w:val="00000A"/>
          <w:sz w:val="24"/>
          <w:szCs w:val="24"/>
          <w:lang w:eastAsia="pt-BR"/>
        </w:rPr>
        <w:t xml:space="preserve">O prazo para entrega deverá ser de até </w:t>
      </w:r>
      <w:r w:rsidRPr="00052C7C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eastAsia="pt-BR"/>
        </w:rPr>
        <w:t>30 (trinta) dias</w:t>
      </w:r>
      <w:r w:rsidRPr="00052C7C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>, c</w:t>
      </w:r>
      <w:r w:rsidRPr="00052C7C">
        <w:rPr>
          <w:rFonts w:ascii="Times New Roman" w:hAnsi="Times New Roman" w:cs="Times New Roman"/>
          <w:color w:val="00000A"/>
          <w:sz w:val="24"/>
          <w:szCs w:val="24"/>
          <w:lang w:eastAsia="pt-BR"/>
        </w:rPr>
        <w:t>ontados do recebimento da Nota de Empenho/Ordem de Fornecimento (via e-mail, correios ou fac-símile) ou retirado na sede da Contratante;</w:t>
      </w:r>
    </w:p>
    <w:p w:rsidR="00052C7C" w:rsidRPr="00052C7C" w:rsidRDefault="00052C7C" w:rsidP="00052C7C">
      <w:pPr>
        <w:numPr>
          <w:ilvl w:val="1"/>
          <w:numId w:val="39"/>
        </w:numPr>
        <w:spacing w:before="100" w:beforeAutospacing="1"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052C7C">
        <w:rPr>
          <w:rFonts w:ascii="Times New Roman" w:hAnsi="Times New Roman" w:cs="Times New Roman"/>
          <w:color w:val="00000A"/>
          <w:sz w:val="24"/>
          <w:szCs w:val="24"/>
          <w:lang w:eastAsia="pt-BR"/>
        </w:rPr>
        <w:t xml:space="preserve">O produto deverá ser entregue, acompanhado da documentação fiscal e de cópia da Nota de Empenho/Ordem de Fornecimento, no endereço: </w:t>
      </w:r>
      <w:r w:rsidRPr="00052C7C">
        <w:rPr>
          <w:rFonts w:ascii="Times New Roman" w:hAnsi="Times New Roman" w:cs="Times New Roman"/>
          <w:b/>
          <w:color w:val="00000A"/>
          <w:sz w:val="24"/>
          <w:szCs w:val="24"/>
          <w:lang w:eastAsia="pt-BR"/>
        </w:rPr>
        <w:t>Rua Engenheiro Roberto Gonçalves, 71, Centro</w:t>
      </w:r>
      <w:r w:rsidRPr="00052C7C">
        <w:rPr>
          <w:rFonts w:ascii="Times New Roman" w:hAnsi="Times New Roman" w:cs="Times New Roman"/>
          <w:color w:val="00000A"/>
          <w:sz w:val="24"/>
          <w:szCs w:val="24"/>
          <w:lang w:eastAsia="pt-BR"/>
        </w:rPr>
        <w:t xml:space="preserve">, </w:t>
      </w: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CEP: 57020-680, </w:t>
      </w:r>
      <w:proofErr w:type="spellStart"/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Maceió-AL</w:t>
      </w:r>
      <w:proofErr w:type="spellEnd"/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devendo agendar o horário da entrega, com 24 (vinte e quatro) horas de antecedência, através do telefone: (82) 3315-3713</w:t>
      </w:r>
      <w:r w:rsidRPr="00052C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52C7C" w:rsidRPr="00052C7C" w:rsidRDefault="00052C7C" w:rsidP="00052C7C">
      <w:pPr>
        <w:pStyle w:val="PargrafodaLista1"/>
        <w:numPr>
          <w:ilvl w:val="1"/>
          <w:numId w:val="39"/>
        </w:numPr>
        <w:jc w:val="both"/>
      </w:pPr>
      <w:r w:rsidRPr="00052C7C">
        <w:rPr>
          <w:color w:val="000000"/>
        </w:rPr>
        <w:lastRenderedPageBreak/>
        <w:t>A Contratada deverá fornecer</w:t>
      </w:r>
      <w:r w:rsidRPr="00052C7C">
        <w:rPr>
          <w:rFonts w:eastAsia="Calibri"/>
          <w:color w:val="000000"/>
        </w:rPr>
        <w:t xml:space="preserve"> </w:t>
      </w:r>
      <w:r w:rsidRPr="00052C7C">
        <w:rPr>
          <w:rFonts w:eastAsia="Calibri"/>
        </w:rPr>
        <w:t>o</w:t>
      </w:r>
      <w:r w:rsidRPr="00052C7C">
        <w:rPr>
          <w:color w:val="000000"/>
        </w:rPr>
        <w:t xml:space="preserve"> produto de acordo com a solicitação da Contratante, através de ordens de fornecimento, consubstanciadas em ofícios, que deverão conter data de expedição, quantidade pretendida, local e prazo para entrega, preço total, carimbo e assinatura do responsável pela requisição.</w:t>
      </w:r>
    </w:p>
    <w:p w:rsidR="00052C7C" w:rsidRPr="00052C7C" w:rsidRDefault="00052C7C" w:rsidP="00052C7C">
      <w:pPr>
        <w:pStyle w:val="PargrafodaLista1"/>
        <w:numPr>
          <w:ilvl w:val="1"/>
          <w:numId w:val="39"/>
        </w:numPr>
        <w:jc w:val="both"/>
      </w:pPr>
      <w:r w:rsidRPr="00052C7C">
        <w:rPr>
          <w:highlight w:val="white"/>
        </w:rPr>
        <w:t>O produto deverá atender aos dispositivos da Lei nº 8.078/90 (Código de Defesa do Consumidor) e às demais legislação pertinentes.</w:t>
      </w:r>
    </w:p>
    <w:p w:rsidR="00052C7C" w:rsidRPr="00052C7C" w:rsidRDefault="00052C7C" w:rsidP="00052C7C">
      <w:pPr>
        <w:numPr>
          <w:ilvl w:val="1"/>
          <w:numId w:val="39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052C7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 produto será objeto </w:t>
      </w:r>
      <w:r w:rsidRPr="00052C7C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052C7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recebimento definitivo </w:t>
      </w:r>
      <w:r w:rsidRPr="00052C7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30 (Trinta) dias</w:t>
      </w:r>
      <w:r w:rsidRPr="00052C7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 nos termos do art. 73, II “b”, da lei Federal nº 8.666/1993.</w:t>
      </w:r>
    </w:p>
    <w:p w:rsidR="00052C7C" w:rsidRPr="00052C7C" w:rsidRDefault="00052C7C" w:rsidP="00052C7C">
      <w:pPr>
        <w:pStyle w:val="PargrafodaLista1"/>
        <w:numPr>
          <w:ilvl w:val="1"/>
          <w:numId w:val="39"/>
        </w:numPr>
        <w:jc w:val="both"/>
      </w:pPr>
      <w:r w:rsidRPr="00052C7C">
        <w:rPr>
          <w:color w:val="000000"/>
          <w:highlight w:val="white"/>
        </w:rPr>
        <w:t xml:space="preserve">O ato de recebimento do </w:t>
      </w:r>
      <w:r w:rsidRPr="00052C7C">
        <w:rPr>
          <w:rFonts w:eastAsia="Calibri"/>
          <w:highlight w:val="white"/>
        </w:rPr>
        <w:t>produto</w:t>
      </w:r>
      <w:r w:rsidRPr="00052C7C">
        <w:rPr>
          <w:color w:val="000000"/>
          <w:highlight w:val="white"/>
        </w:rPr>
        <w:t xml:space="preserve">, não importa em sua aceitação. A critério da Contratante, o produto fornecido será submetido à verificação. Cabe a Contratada a substituição do produto que vier a ser recusado, </w:t>
      </w:r>
      <w:r w:rsidRPr="00052C7C">
        <w:rPr>
          <w:color w:val="000000"/>
        </w:rPr>
        <w:t xml:space="preserve">no prazo máximo de </w:t>
      </w:r>
      <w:r w:rsidRPr="00052C7C">
        <w:rPr>
          <w:b/>
          <w:color w:val="000000"/>
        </w:rPr>
        <w:t>05 (cinco)</w:t>
      </w:r>
      <w:r w:rsidRPr="00052C7C">
        <w:rPr>
          <w:color w:val="000000"/>
        </w:rPr>
        <w:t xml:space="preserve"> dias úteis</w:t>
      </w:r>
      <w:r w:rsidRPr="00052C7C">
        <w:rPr>
          <w:color w:val="000000"/>
          <w:highlight w:val="white"/>
        </w:rPr>
        <w:t>, contados da solicitação.</w:t>
      </w:r>
    </w:p>
    <w:p w:rsidR="00052C7C" w:rsidRPr="00052C7C" w:rsidRDefault="00052C7C" w:rsidP="00052C7C">
      <w:pPr>
        <w:pStyle w:val="PargrafodaLista1"/>
        <w:numPr>
          <w:ilvl w:val="1"/>
          <w:numId w:val="39"/>
        </w:numPr>
        <w:jc w:val="both"/>
      </w:pPr>
      <w:r w:rsidRPr="00052C7C">
        <w:rPr>
          <w:rFonts w:eastAsia="Calibri"/>
          <w:color w:val="000000"/>
          <w:shd w:val="clear" w:color="auto" w:fill="FFFFFF"/>
        </w:rPr>
        <w:t>A Contratante poderá se recusar a receber o produto, caso estes estejam em desacordo com a</w:t>
      </w:r>
      <w:r w:rsidRPr="00052C7C">
        <w:rPr>
          <w:rFonts w:eastAsia="Calibri"/>
          <w:color w:val="000000"/>
        </w:rPr>
        <w:t xml:space="preserve"> proposta apresentada pela licitante vencedora, fato que será devidamente caracterizado e comunicado à empresa, sem que a esta caiba direito de indenização.</w:t>
      </w:r>
    </w:p>
    <w:p w:rsidR="00052C7C" w:rsidRPr="00052C7C" w:rsidRDefault="00052C7C" w:rsidP="00052C7C">
      <w:pPr>
        <w:pStyle w:val="PargrafodaLista1"/>
        <w:ind w:left="1110"/>
        <w:jc w:val="both"/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DA HABILITAÇÃO TÉCNICA </w:t>
      </w:r>
    </w:p>
    <w:p w:rsidR="00052C7C" w:rsidRDefault="00052C7C" w:rsidP="00052C7C">
      <w:pPr>
        <w:pStyle w:val="PargrafodaLista"/>
        <w:numPr>
          <w:ilvl w:val="1"/>
          <w:numId w:val="3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 xml:space="preserve">Atestado ou certidão expedido por </w:t>
      </w:r>
      <w:r w:rsidRPr="00052C7C">
        <w:rPr>
          <w:rFonts w:ascii="Times New Roman" w:eastAsia="Calibri" w:hAnsi="Times New Roman" w:cs="Times New Roman"/>
          <w:sz w:val="24"/>
          <w:szCs w:val="24"/>
        </w:rPr>
        <w:t>pessoa</w:t>
      </w:r>
      <w:r w:rsidRPr="00052C7C">
        <w:rPr>
          <w:rFonts w:ascii="Times New Roman" w:hAnsi="Times New Roman" w:cs="Times New Roman"/>
          <w:sz w:val="24"/>
          <w:szCs w:val="24"/>
        </w:rPr>
        <w:t xml:space="preserve"> jurídica de direito público ou privado, comprovando que a licitante já realizou fornecimento compatível com o objeto deste Termo de Referência. A comprovação deverá ser feita por meio de apresentação de documentos devidamente assinados, carimbados e em papel timbrado da empresa ou Órgão que adquiriu os produtos.</w:t>
      </w:r>
    </w:p>
    <w:p w:rsidR="00052C7C" w:rsidRPr="00052C7C" w:rsidRDefault="00052C7C" w:rsidP="00052C7C">
      <w:pPr>
        <w:pStyle w:val="PargrafodaLista"/>
        <w:suppressAutoHyphens/>
        <w:spacing w:after="0" w:line="240" w:lineRule="auto"/>
        <w:ind w:left="3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>DAS OBRIGAÇÕES</w:t>
      </w:r>
    </w:p>
    <w:p w:rsidR="00052C7C" w:rsidRPr="00052C7C" w:rsidRDefault="00052C7C" w:rsidP="00052C7C">
      <w:pPr>
        <w:numPr>
          <w:ilvl w:val="1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DA CONTRATADA </w:t>
      </w:r>
    </w:p>
    <w:p w:rsidR="00052C7C" w:rsidRPr="00052C7C" w:rsidRDefault="00052C7C" w:rsidP="00052C7C">
      <w:pPr>
        <w:pStyle w:val="western"/>
        <w:numPr>
          <w:ilvl w:val="1"/>
          <w:numId w:val="41"/>
        </w:numPr>
        <w:spacing w:before="0" w:after="0"/>
      </w:pPr>
      <w:r w:rsidRPr="00052C7C">
        <w:t>Efetuar a entrega do objeto em perfeitas condições, conforme especificações, prazo e local constantes neste Termo de Referência;</w:t>
      </w:r>
    </w:p>
    <w:p w:rsidR="00052C7C" w:rsidRPr="00052C7C" w:rsidRDefault="00052C7C" w:rsidP="00052C7C">
      <w:pPr>
        <w:pStyle w:val="western"/>
        <w:numPr>
          <w:ilvl w:val="1"/>
          <w:numId w:val="41"/>
        </w:numPr>
        <w:spacing w:before="0" w:after="0"/>
      </w:pPr>
      <w:r w:rsidRPr="00052C7C">
        <w:t>Comunicar</w:t>
      </w:r>
      <w:r w:rsidRPr="00052C7C">
        <w:rPr>
          <w:color w:val="000000"/>
        </w:rPr>
        <w:t>, por escrito, a ocorrência de qualquer anormalidade de caráter urgente que impossibilite o seu cumprimento, tão logo seja verificada, e prestar os esclarecimentos que julgar necessários à requisitante até 24 (vinte e quatro) horas antes do prazo previsto para a entrega.</w:t>
      </w:r>
    </w:p>
    <w:p w:rsidR="00052C7C" w:rsidRPr="00052C7C" w:rsidRDefault="00052C7C" w:rsidP="00052C7C">
      <w:pPr>
        <w:pStyle w:val="western"/>
        <w:numPr>
          <w:ilvl w:val="1"/>
          <w:numId w:val="41"/>
        </w:numPr>
        <w:spacing w:before="0" w:after="0"/>
      </w:pPr>
      <w:r w:rsidRPr="00052C7C">
        <w:t>Responsabilizar-se pelos encargos fiscais, frete, taxas comerciais, tributos e contribuições que incidirem direta ou indiretamente, e demais ônus referentes ao fornecimento do produto.</w:t>
      </w:r>
    </w:p>
    <w:p w:rsidR="00052C7C" w:rsidRPr="00052C7C" w:rsidRDefault="00052C7C" w:rsidP="00052C7C">
      <w:pPr>
        <w:pStyle w:val="western"/>
        <w:numPr>
          <w:ilvl w:val="1"/>
          <w:numId w:val="41"/>
        </w:numPr>
        <w:spacing w:before="0" w:after="0"/>
      </w:pPr>
      <w:r w:rsidRPr="00052C7C">
        <w:t>Providenciar a imediata substituição das deficiências apontadas pela fiscalização na execução da Contratação.</w:t>
      </w:r>
    </w:p>
    <w:p w:rsidR="00052C7C" w:rsidRPr="00052C7C" w:rsidRDefault="00052C7C" w:rsidP="00052C7C">
      <w:pPr>
        <w:pStyle w:val="western"/>
        <w:numPr>
          <w:ilvl w:val="1"/>
          <w:numId w:val="41"/>
        </w:numPr>
        <w:spacing w:before="0" w:after="0"/>
      </w:pPr>
      <w:r w:rsidRPr="00052C7C">
        <w:t>Substituir, às suas expensas, imediatamente, no total, ou em parte, os produtos que vierem a ser recusados, quando se verificarem vícios, defeitos ou incorreções (artigo 69, Lei Federal n.º 8.666/93).</w:t>
      </w:r>
    </w:p>
    <w:p w:rsidR="00052C7C" w:rsidRPr="00052C7C" w:rsidRDefault="00052C7C" w:rsidP="00052C7C">
      <w:pPr>
        <w:pStyle w:val="western"/>
        <w:numPr>
          <w:ilvl w:val="1"/>
          <w:numId w:val="41"/>
        </w:numPr>
        <w:spacing w:before="0" w:after="0"/>
      </w:pPr>
      <w:r w:rsidRPr="00052C7C">
        <w:t>Responder por quaisquer danos pessoais ou materiais causados, quando caracterizada a má fé, o dolo, a negligência, imprudência ou a imperícia profissional, durante a entrega dos produtos.</w:t>
      </w:r>
    </w:p>
    <w:p w:rsidR="00052C7C" w:rsidRPr="00052C7C" w:rsidRDefault="00052C7C" w:rsidP="00052C7C">
      <w:pPr>
        <w:pStyle w:val="western"/>
        <w:numPr>
          <w:ilvl w:val="1"/>
          <w:numId w:val="41"/>
        </w:numPr>
        <w:spacing w:before="0" w:after="0"/>
      </w:pPr>
      <w:r w:rsidRPr="00052C7C">
        <w:t>Responsabilizar-se por todos e quaisquer danos e/ou prejuízos que vier a causar à Contratante ou a terceiros, tendo como agente a Contratada, na pessoa de prepostos ou estranhos.</w:t>
      </w:r>
    </w:p>
    <w:p w:rsidR="00052C7C" w:rsidRPr="00052C7C" w:rsidRDefault="00052C7C" w:rsidP="00052C7C">
      <w:pPr>
        <w:pStyle w:val="western"/>
        <w:numPr>
          <w:ilvl w:val="1"/>
          <w:numId w:val="41"/>
        </w:numPr>
        <w:spacing w:before="0" w:after="0"/>
      </w:pPr>
      <w:r w:rsidRPr="00052C7C">
        <w:t xml:space="preserve">Responsabilizar-se por quaisquer multas ou despesas de qualquer natureza impostas pela Contratante em decorrência de descumprimento de qualquer cláusula ou condição do instrumento contratual ou instrumento equivalente, </w:t>
      </w:r>
      <w:r w:rsidRPr="00052C7C">
        <w:lastRenderedPageBreak/>
        <w:t>dispositivo legal ou regulamento, por sua parte, inclusive os horários de entrega.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DA CONTRATANTE:</w:t>
      </w:r>
    </w:p>
    <w:p w:rsidR="00052C7C" w:rsidRPr="00052C7C" w:rsidRDefault="00052C7C" w:rsidP="00052C7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Emitir Nota de Empenho/Ordem de Fornecimento.</w:t>
      </w:r>
    </w:p>
    <w:p w:rsidR="00052C7C" w:rsidRPr="00052C7C" w:rsidRDefault="00052C7C" w:rsidP="00052C7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Acompanhar e fiscalizar a execução do objeto, atestar as Notas Fiscais e efetuar o pagamento.</w:t>
      </w:r>
    </w:p>
    <w:p w:rsidR="00052C7C" w:rsidRPr="00052C7C" w:rsidRDefault="00052C7C" w:rsidP="00052C7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Solicitar o fornecimento dos produtos, mediante Nota de Empenho/Ordem de Fornecimento.</w:t>
      </w:r>
    </w:p>
    <w:p w:rsidR="00052C7C" w:rsidRPr="00052C7C" w:rsidRDefault="00052C7C" w:rsidP="00052C7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Comunicar, imediatamente, as irregularidades verificadas na execução da contratação.</w:t>
      </w:r>
    </w:p>
    <w:p w:rsidR="00052C7C" w:rsidRPr="00052C7C" w:rsidRDefault="00052C7C" w:rsidP="00052C7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Recusar-se a receber o produto licitado, caso estes estejam em desacordo com a proposta apresentada pela Contratada, fato que será devidamente caracterizado e comunicado à empresa, sem que a esta caiba direito de indenização.</w:t>
      </w:r>
    </w:p>
    <w:p w:rsidR="00052C7C" w:rsidRDefault="00052C7C" w:rsidP="00052C7C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Aplicar à Contratada as penalidades regulamentares contratuais.</w:t>
      </w:r>
    </w:p>
    <w:p w:rsidR="00052C7C" w:rsidRPr="00052C7C" w:rsidRDefault="00052C7C" w:rsidP="00052C7C">
      <w:pPr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DO PAGAMENTO   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pacing w:before="100" w:beforeAutospacing="1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052C7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O pagamento será efetuado pela Contratante, través de depósito bancário em </w:t>
      </w:r>
      <w:proofErr w:type="spellStart"/>
      <w:r w:rsidRPr="00052C7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conta-corrente</w:t>
      </w:r>
      <w:proofErr w:type="spellEnd"/>
      <w:r w:rsidRPr="00052C7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fornecida pela contratada, em até 30 (trinta) dias, contados da apresentação de requerimento, nota fiscal, recibo e certidões necessárias, devidamente analisadas e atestadas pelo servidor designado pela Contratante.</w:t>
      </w:r>
    </w:p>
    <w:p w:rsidR="00052C7C" w:rsidRPr="00052C7C" w:rsidRDefault="00052C7C" w:rsidP="00052C7C">
      <w:pPr>
        <w:numPr>
          <w:ilvl w:val="1"/>
          <w:numId w:val="39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052C7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Havendo erro na Fatura/Nota Fiscal/Recibo, ou outra circunstância que desaprove a liquidação, o pagamento será sustado, até que sejam tomadas as medidas saneadoras necessárias.</w:t>
      </w:r>
    </w:p>
    <w:p w:rsidR="00052C7C" w:rsidRPr="00052C7C" w:rsidRDefault="00052C7C" w:rsidP="00052C7C">
      <w:pPr>
        <w:spacing w:after="0" w:line="240" w:lineRule="auto"/>
        <w:ind w:left="391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DA CONTRATAÇÃO   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 xml:space="preserve">Por se tratar de compra com entrega imediata e integral dos produtos, o Contrato decorrente da licitação será substituído por </w:t>
      </w:r>
      <w:r w:rsidRPr="00052C7C">
        <w:rPr>
          <w:rFonts w:ascii="Times New Roman" w:hAnsi="Times New Roman" w:cs="Times New Roman"/>
          <w:b/>
          <w:bCs/>
          <w:sz w:val="24"/>
          <w:szCs w:val="24"/>
          <w:u w:val="single"/>
          <w:lang w:eastAsia="pt-BR"/>
        </w:rPr>
        <w:t>Nota de Empenho de Despesa</w:t>
      </w:r>
      <w:r w:rsidRPr="00052C7C">
        <w:rPr>
          <w:rFonts w:ascii="Times New Roman" w:hAnsi="Times New Roman" w:cs="Times New Roman"/>
          <w:sz w:val="24"/>
          <w:szCs w:val="24"/>
          <w:lang w:eastAsia="pt-BR"/>
        </w:rPr>
        <w:t>, conforme previsão do Art. 62 da lei 8.666/93;</w:t>
      </w:r>
    </w:p>
    <w:p w:rsidR="00052C7C" w:rsidRDefault="00052C7C" w:rsidP="00052C7C">
      <w:pPr>
        <w:pStyle w:val="PargrafodaLista"/>
        <w:numPr>
          <w:ilvl w:val="1"/>
          <w:numId w:val="3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O prazo para o recebimento da Nota de Empenho de Despesa será de no máximo 05 (cinco) dias, contados da convocação para a sua formalização, podendo ser prorrogado uma só vez, por igual período, nas situações previstas no § 1º do art. 64 da lei nº. 8.666/93, sob pena de decair o direito à contratação, sem prejuízo das sanções previstas no Art. 81 da mesma lei.</w:t>
      </w:r>
    </w:p>
    <w:p w:rsidR="00052C7C" w:rsidRPr="00052C7C" w:rsidRDefault="00052C7C" w:rsidP="00052C7C">
      <w:pPr>
        <w:pStyle w:val="PargrafodaLista"/>
        <w:suppressAutoHyphens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DO ACOMPANHAMENTO E FISCALIZAÇÃO DA CONTRATAÇÃO   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2C7C">
        <w:rPr>
          <w:rFonts w:ascii="Times New Roman" w:hAnsi="Times New Roman" w:cs="Times New Roman"/>
          <w:sz w:val="24"/>
          <w:szCs w:val="24"/>
          <w:lang w:eastAsia="pt-BR"/>
        </w:rPr>
        <w:t>A contratação será acompanhada e fiscalizada por servidor designado pelo gestor da pasta.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 xml:space="preserve">O gestor da contratação terá, entre outras, as seguintes atribuições: 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expedir ordens de fornecimento;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 xml:space="preserve"> proceder ao acompanhamento técnico da entrega;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 xml:space="preserve">comunicar à Contratada o descumprimento do </w:t>
      </w:r>
      <w:r w:rsidRPr="00052C7C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>contrato</w:t>
      </w:r>
      <w:r w:rsidRPr="00052C7C">
        <w:rPr>
          <w:rFonts w:ascii="Times New Roman" w:hAnsi="Times New Roman" w:cs="Times New Roman"/>
          <w:sz w:val="24"/>
          <w:szCs w:val="24"/>
          <w:lang w:eastAsia="pt-BR"/>
        </w:rPr>
        <w:t xml:space="preserve"> e indicar os procedimentos necessários ao seu correto cumprimento; 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 xml:space="preserve">solicitar à Administração a aplicação de penalidades por descumprimento de cláusula contratual; 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 xml:space="preserve">fornecer atestados de capacidade técnica quando solicitado, desde que atendidas às obrigações contratuais; 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 xml:space="preserve">atestar as notas fiscais de fornecimento para efeito de pagamentos; 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recusar o objeto que for entregue fora das especificações contidas neste Termo de Referência.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solicitar à Contratada e a seu preposto todas as providências necessárias ao bom e fiel cumprimento das obrigações.</w:t>
      </w:r>
    </w:p>
    <w:p w:rsidR="00052C7C" w:rsidRDefault="00052C7C" w:rsidP="00052C7C">
      <w:pPr>
        <w:pStyle w:val="PargrafodaLista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DAS SANÇÕES 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São sanções passíveis de aplicação às empresas, sem prejuízo de outras sanções previstas em legislação pertinente e da responsabilidade civil e criminal que seus atos ensejarem: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advertência;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multa diária de 0,3% (três décimos percentuais);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multa de até 5% (cinco por cento);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multa de até 10% (dez por cento);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suspensão temporária, pelo período de até 2 (dois) anos, de participação em licitação e contratação com este órgão com a imediata comunicação;</w:t>
      </w:r>
    </w:p>
    <w:p w:rsidR="00052C7C" w:rsidRPr="00052C7C" w:rsidRDefault="00052C7C" w:rsidP="00052C7C">
      <w:pPr>
        <w:pStyle w:val="PargrafodaLista"/>
        <w:numPr>
          <w:ilvl w:val="2"/>
          <w:numId w:val="39"/>
        </w:numPr>
        <w:suppressAutoHyphens/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 xml:space="preserve">impedimento de licitar e contratar com o Município de Maceió pelo prazo de até cinco anos nos termos do art. 10, Anexo II, c/c art. 14, Anexo I, todos do Decreto Municipal 6.417/2004 com o imediato registro no SICAF.  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O fornecedor estará sujeito às sanções do subitem 12.1 nas seguintes hipóteses:</w:t>
      </w:r>
    </w:p>
    <w:p w:rsidR="00052C7C" w:rsidRPr="00052C7C" w:rsidRDefault="00052C7C" w:rsidP="00052C7C">
      <w:pPr>
        <w:numPr>
          <w:ilvl w:val="0"/>
          <w:numId w:val="38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>Falhar ou fraudar na execução da contratação, comportar-se de modo inidôneo, fizer declaração falsa ou cometer fraude fiscal: aplicação da sanção prevista no subitem “12.1.4” (calculada sobre o valor total da contratação) e/ou “12.1.6”;</w:t>
      </w:r>
    </w:p>
    <w:p w:rsidR="00052C7C" w:rsidRPr="00052C7C" w:rsidRDefault="00052C7C" w:rsidP="00052C7C">
      <w:pPr>
        <w:numPr>
          <w:ilvl w:val="0"/>
          <w:numId w:val="38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>“Infrações de menor gravidade que não acarretem prejuízos ao município: aplicação da sanção prevista no subitem 12.1.1”;</w:t>
      </w:r>
    </w:p>
    <w:p w:rsidR="00052C7C" w:rsidRPr="00052C7C" w:rsidRDefault="00052C7C" w:rsidP="00052C7C">
      <w:pPr>
        <w:numPr>
          <w:ilvl w:val="0"/>
          <w:numId w:val="38"/>
        </w:numPr>
        <w:suppressAutoHyphens/>
        <w:autoSpaceDE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>Por dia de atraso quanto ao cumprimento das determinações exaradas pela Contratante: aplicação da sanção prevista no subitem “12.1.2” (calculada sobre o valor total da contratação, ou sobre o valor da parcela a que se refere à determinação, conforme o caso, até o máximo de 10 (dez) por cento daqueles valores, por ocorrência).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Em caso de ocorrência de inadimplemento não contemplado nas hipóteses anteriores, a Administração procederá à apuração do dano para aplicação da sanção apropriada ao caso concreto, observado o princípio da proporcionalidade.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Comprovado impedimento ou reconhecida força maior, devidamente justificado e aceito pela Administração, em relação a um dos eventos arrolados no subitem 10.3, a empresa ficará isenta das penalidades mencionadas.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>A critério da Contratante, nos termos do art. 87, § 2.º, da Lei Federal n.º 8.666/93, e considerando a gravidade da infração cometida, ocorrendo quaisquer das hipóteses indicadas no subitem 12.2, a sanção prevista no subitem “12.1.5” ou no subitem “12.1.6” do item 12.1 que poderá ser aplicada isolada ou cumulativamente com quaisquer das multas previstas no subitem “12.1.2” a “12.1.4” do mesmo dispositivo.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 xml:space="preserve">As penalidades fixadas no subitem 12.1 serão aplicadas através de Processo Administrativo a cargo da Contratante, no qual serão assegurados à contratada o contraditório e a ampla defesa. 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 xml:space="preserve">As sanções administrativas serão registradas no SICAF. </w:t>
      </w:r>
    </w:p>
    <w:p w:rsidR="00052C7C" w:rsidRPr="00052C7C" w:rsidRDefault="00052C7C" w:rsidP="00052C7C">
      <w:pPr>
        <w:pStyle w:val="PargrafodaLista"/>
        <w:autoSpaceDE w:val="0"/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DA GARANTIA DOS PRODUTOS 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  <w:lang w:eastAsia="pt-BR"/>
        </w:rPr>
        <w:t>Todos os produtos fornecidos devem possuir uma garantia do fabricante de, no mínimo,01</w:t>
      </w:r>
      <w:r w:rsidRPr="00052C7C">
        <w:rPr>
          <w:rFonts w:ascii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(um) ano</w:t>
      </w:r>
      <w:r w:rsidRPr="00052C7C">
        <w:rPr>
          <w:rFonts w:ascii="Times New Roman" w:hAnsi="Times New Roman" w:cs="Times New Roman"/>
          <w:sz w:val="24"/>
          <w:szCs w:val="24"/>
          <w:lang w:eastAsia="pt-BR"/>
        </w:rPr>
        <w:t xml:space="preserve">, contados da data do recebimento definitivo. 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 xml:space="preserve"> Havendo</w:t>
      </w:r>
      <w:r w:rsidRPr="00052C7C">
        <w:rPr>
          <w:rFonts w:ascii="Times New Roman" w:hAnsi="Times New Roman" w:cs="Times New Roman"/>
          <w:sz w:val="24"/>
          <w:szCs w:val="24"/>
        </w:rPr>
        <w:t xml:space="preserve"> prazo de garantia superior ao mínimo exigido prevalecerá a regra mais favorável a Administração Pública.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autoSpaceDE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color w:val="000000"/>
          <w:sz w:val="24"/>
          <w:szCs w:val="24"/>
        </w:rPr>
        <w:t>A Lei 8.078/90 (Código de Defesa do Consumidor) regerá as demais disposições pertinentes à matéria.</w:t>
      </w:r>
    </w:p>
    <w:p w:rsidR="00052C7C" w:rsidRPr="00052C7C" w:rsidRDefault="00052C7C" w:rsidP="00052C7C">
      <w:pPr>
        <w:numPr>
          <w:ilvl w:val="0"/>
          <w:numId w:val="39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284"/>
        </w:tabs>
        <w:suppressAutoHyphens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lastRenderedPageBreak/>
        <w:t xml:space="preserve">DISPOSIÇÕES GERAIS/INFORMAÇÕES COMPLEMENTARES    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2C7C">
        <w:rPr>
          <w:rFonts w:ascii="Times New Roman" w:hAnsi="Times New Roman" w:cs="Times New Roman"/>
          <w:sz w:val="24"/>
          <w:szCs w:val="24"/>
        </w:rPr>
        <w:t>O setor técnico competente auxiliará o pregoeiro nos casos de pedidos de esclarecimentos, impugnações a análise de propostas.</w:t>
      </w:r>
    </w:p>
    <w:p w:rsidR="00052C7C" w:rsidRPr="00052C7C" w:rsidRDefault="00052C7C" w:rsidP="00052C7C">
      <w:pPr>
        <w:pStyle w:val="PargrafodaLista"/>
        <w:numPr>
          <w:ilvl w:val="1"/>
          <w:numId w:val="39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color w:val="00000A"/>
          <w:sz w:val="24"/>
          <w:szCs w:val="24"/>
          <w:lang w:eastAsia="pt-BR"/>
        </w:rPr>
        <w:t>Eventuais pedidos de informações/esclarecimentos deverão ser encaminhados a Agência Municipal de Regulação de Serviços Delegados</w:t>
      </w:r>
      <w:r w:rsidRPr="00052C7C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, para o Setor Gerência Administrativa, através do </w:t>
      </w:r>
      <w:proofErr w:type="spellStart"/>
      <w:r w:rsidRPr="00052C7C">
        <w:rPr>
          <w:rFonts w:ascii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pt-BR"/>
        </w:rPr>
        <w:t>email</w:t>
      </w:r>
      <w:proofErr w:type="spellEnd"/>
      <w:r w:rsidRPr="00052C7C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: </w:t>
      </w:r>
      <w:r w:rsidRPr="00052C7C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eastAsia="pt-BR"/>
        </w:rPr>
        <w:t>gerencia.administrativo@arser.maceio.al.gov.br</w:t>
      </w:r>
      <w:r w:rsidRPr="00052C7C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eastAsia="pt-BR"/>
        </w:rPr>
        <w:t xml:space="preserve">, telefone para contato </w:t>
      </w:r>
      <w:r w:rsidRPr="00052C7C">
        <w:rPr>
          <w:rFonts w:ascii="Times New Roman" w:hAnsi="Times New Roman" w:cs="Times New Roman"/>
          <w:b/>
          <w:color w:val="00000A"/>
          <w:sz w:val="24"/>
          <w:szCs w:val="24"/>
          <w:shd w:val="clear" w:color="auto" w:fill="FFFFFF"/>
          <w:lang w:eastAsia="pt-BR"/>
        </w:rPr>
        <w:t>(82) 3315 3713.</w:t>
      </w:r>
    </w:p>
    <w:p w:rsidR="00281407" w:rsidRDefault="00281407" w:rsidP="00052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C7C" w:rsidRDefault="00052C7C" w:rsidP="00052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C7C" w:rsidRPr="00052C7C" w:rsidRDefault="00052C7C" w:rsidP="00052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407" w:rsidRPr="00052C7C" w:rsidRDefault="00281407" w:rsidP="00052C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 xml:space="preserve">Maceió (AL), </w:t>
      </w:r>
      <w:r w:rsidR="007B58CC" w:rsidRPr="00052C7C">
        <w:rPr>
          <w:rFonts w:ascii="Times New Roman" w:hAnsi="Times New Roman" w:cs="Times New Roman"/>
          <w:sz w:val="24"/>
          <w:szCs w:val="24"/>
        </w:rPr>
        <w:t>21</w:t>
      </w:r>
      <w:r w:rsidRPr="00052C7C">
        <w:rPr>
          <w:rFonts w:ascii="Times New Roman" w:hAnsi="Times New Roman" w:cs="Times New Roman"/>
          <w:sz w:val="24"/>
          <w:szCs w:val="24"/>
        </w:rPr>
        <w:t xml:space="preserve"> de </w:t>
      </w:r>
      <w:r w:rsidR="007B58CC" w:rsidRPr="00052C7C">
        <w:rPr>
          <w:rFonts w:ascii="Times New Roman" w:hAnsi="Times New Roman" w:cs="Times New Roman"/>
          <w:sz w:val="24"/>
          <w:szCs w:val="24"/>
        </w:rPr>
        <w:t>maio</w:t>
      </w:r>
      <w:r w:rsidRPr="00052C7C">
        <w:rPr>
          <w:rFonts w:ascii="Times New Roman" w:hAnsi="Times New Roman" w:cs="Times New Roman"/>
          <w:sz w:val="24"/>
          <w:szCs w:val="24"/>
        </w:rPr>
        <w:t xml:space="preserve"> de 201</w:t>
      </w:r>
      <w:r w:rsidR="007B58CC" w:rsidRPr="00052C7C">
        <w:rPr>
          <w:rFonts w:ascii="Times New Roman" w:hAnsi="Times New Roman" w:cs="Times New Roman"/>
          <w:sz w:val="24"/>
          <w:szCs w:val="24"/>
        </w:rPr>
        <w:t>9</w:t>
      </w:r>
      <w:r w:rsidRPr="00052C7C">
        <w:rPr>
          <w:rFonts w:ascii="Times New Roman" w:hAnsi="Times New Roman" w:cs="Times New Roman"/>
          <w:sz w:val="24"/>
          <w:szCs w:val="24"/>
        </w:rPr>
        <w:t>.</w:t>
      </w:r>
    </w:p>
    <w:p w:rsidR="00281407" w:rsidRDefault="00281407" w:rsidP="00052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C7C" w:rsidRPr="00052C7C" w:rsidRDefault="00052C7C" w:rsidP="00052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407" w:rsidRPr="00052C7C" w:rsidRDefault="00281407" w:rsidP="00052C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>Responsável pela elaboração.</w:t>
      </w:r>
    </w:p>
    <w:p w:rsidR="00281407" w:rsidRPr="00052C7C" w:rsidRDefault="00281407" w:rsidP="00052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407" w:rsidRPr="00052C7C" w:rsidRDefault="00281407" w:rsidP="00052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7C">
        <w:rPr>
          <w:rFonts w:ascii="Times New Roman" w:hAnsi="Times New Roman" w:cs="Times New Roman"/>
          <w:b/>
          <w:sz w:val="24"/>
          <w:szCs w:val="24"/>
        </w:rPr>
        <w:t>Josivaldo Serafim da Silva</w:t>
      </w:r>
    </w:p>
    <w:p w:rsidR="00281407" w:rsidRPr="00052C7C" w:rsidRDefault="00281407" w:rsidP="00052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>Gerência Administrativa</w:t>
      </w:r>
    </w:p>
    <w:p w:rsidR="00281407" w:rsidRPr="00052C7C" w:rsidRDefault="00281407" w:rsidP="00052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>Matrícula 949673-4</w:t>
      </w:r>
    </w:p>
    <w:p w:rsidR="00281407" w:rsidRPr="00052C7C" w:rsidRDefault="00281407" w:rsidP="00052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407" w:rsidRPr="00052C7C" w:rsidRDefault="00281407" w:rsidP="00052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407" w:rsidRPr="00052C7C" w:rsidRDefault="00281407" w:rsidP="00052C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C7C">
        <w:rPr>
          <w:rFonts w:ascii="Times New Roman" w:hAnsi="Times New Roman" w:cs="Times New Roman"/>
          <w:b/>
          <w:sz w:val="24"/>
          <w:szCs w:val="24"/>
        </w:rPr>
        <w:t>Aprovo o Termo de Referência,</w:t>
      </w:r>
      <w:r w:rsidRPr="00052C7C">
        <w:rPr>
          <w:rFonts w:ascii="Times New Roman" w:hAnsi="Times New Roman" w:cs="Times New Roman"/>
          <w:b/>
          <w:sz w:val="24"/>
          <w:szCs w:val="24"/>
        </w:rPr>
        <w:tab/>
      </w:r>
    </w:p>
    <w:p w:rsidR="00281407" w:rsidRPr="00052C7C" w:rsidRDefault="00281407" w:rsidP="00052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407" w:rsidRPr="00052C7C" w:rsidRDefault="00281407" w:rsidP="00052C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407" w:rsidRPr="00052C7C" w:rsidRDefault="00246B64" w:rsidP="00052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7C">
        <w:rPr>
          <w:rFonts w:ascii="Times New Roman" w:hAnsi="Times New Roman" w:cs="Times New Roman"/>
          <w:b/>
          <w:sz w:val="24"/>
          <w:szCs w:val="24"/>
        </w:rPr>
        <w:t xml:space="preserve">Rodrigo Borges </w:t>
      </w:r>
      <w:proofErr w:type="spellStart"/>
      <w:r w:rsidRPr="00052C7C">
        <w:rPr>
          <w:rFonts w:ascii="Times New Roman" w:hAnsi="Times New Roman" w:cs="Times New Roman"/>
          <w:b/>
          <w:sz w:val="24"/>
          <w:szCs w:val="24"/>
        </w:rPr>
        <w:t>Fontan</w:t>
      </w:r>
      <w:proofErr w:type="spellEnd"/>
    </w:p>
    <w:p w:rsidR="00281407" w:rsidRPr="00052C7C" w:rsidRDefault="00281407" w:rsidP="00052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>Diretor Presidente</w:t>
      </w:r>
    </w:p>
    <w:p w:rsidR="00281407" w:rsidRPr="00052C7C" w:rsidRDefault="00281407" w:rsidP="00052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C7C">
        <w:rPr>
          <w:rFonts w:ascii="Times New Roman" w:hAnsi="Times New Roman" w:cs="Times New Roman"/>
          <w:sz w:val="24"/>
          <w:szCs w:val="24"/>
        </w:rPr>
        <w:t>ARSER</w:t>
      </w:r>
    </w:p>
    <w:sectPr w:rsidR="00281407" w:rsidRPr="00052C7C" w:rsidSect="00052C7C">
      <w:headerReference w:type="default" r:id="rId8"/>
      <w:footerReference w:type="default" r:id="rId9"/>
      <w:pgSz w:w="11906" w:h="16838"/>
      <w:pgMar w:top="1701" w:right="1134" w:bottom="397" w:left="1701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8C" w:rsidRDefault="0083298C" w:rsidP="0075182C">
      <w:pPr>
        <w:spacing w:after="0" w:line="240" w:lineRule="auto"/>
      </w:pPr>
      <w:r>
        <w:separator/>
      </w:r>
    </w:p>
  </w:endnote>
  <w:endnote w:type="continuationSeparator" w:id="0">
    <w:p w:rsidR="0083298C" w:rsidRDefault="0083298C" w:rsidP="0075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201879"/>
      <w:docPartObj>
        <w:docPartGallery w:val="Page Numbers (Bottom of Page)"/>
        <w:docPartUnique/>
      </w:docPartObj>
    </w:sdtPr>
    <w:sdtEndPr/>
    <w:sdtContent>
      <w:p w:rsidR="00154BF2" w:rsidRDefault="00154BF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D2A">
          <w:rPr>
            <w:noProof/>
          </w:rPr>
          <w:t>5</w:t>
        </w:r>
        <w:r>
          <w:fldChar w:fldCharType="end"/>
        </w:r>
      </w:p>
    </w:sdtContent>
  </w:sdt>
  <w:p w:rsidR="002A488D" w:rsidRDefault="002A488D" w:rsidP="002A488D">
    <w:pPr>
      <w:pStyle w:val="Rodap"/>
      <w:jc w:val="center"/>
      <w:rPr>
        <w:sz w:val="16"/>
        <w:szCs w:val="16"/>
      </w:rPr>
    </w:pPr>
    <w:bookmarkStart w:id="10" w:name="_Hlk9263717"/>
    <w:r>
      <w:rPr>
        <w:sz w:val="16"/>
        <w:szCs w:val="16"/>
      </w:rPr>
      <w:t>Rua Eng. Roberto Gonçalves Menezes, 71, Centro</w:t>
    </w:r>
  </w:p>
  <w:p w:rsidR="002A488D" w:rsidRDefault="002A488D" w:rsidP="002A488D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Maceió - AL | CEP:57020-680</w:t>
    </w:r>
  </w:p>
  <w:p w:rsidR="002A488D" w:rsidRDefault="0083298C" w:rsidP="002A488D">
    <w:pPr>
      <w:pStyle w:val="Rodap"/>
      <w:jc w:val="center"/>
      <w:rPr>
        <w:sz w:val="16"/>
        <w:szCs w:val="16"/>
      </w:rPr>
    </w:pPr>
    <w:hyperlink r:id="rId1" w:history="1">
      <w:r w:rsidR="002A488D">
        <w:rPr>
          <w:rStyle w:val="Hyperlink"/>
          <w:sz w:val="16"/>
          <w:szCs w:val="16"/>
        </w:rPr>
        <w:t>www.maceio.al.gov.br/arser</w:t>
      </w:r>
    </w:hyperlink>
    <w:r w:rsidR="002A488D">
      <w:rPr>
        <w:sz w:val="16"/>
        <w:szCs w:val="16"/>
      </w:rPr>
      <w:br/>
      <w:t>ouvidoria@arser.maceio.al.gov.br</w:t>
    </w:r>
    <w:bookmarkEnd w:id="10"/>
  </w:p>
  <w:p w:rsidR="0075182C" w:rsidRDefault="007518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8C" w:rsidRDefault="0083298C" w:rsidP="0075182C">
      <w:pPr>
        <w:spacing w:after="0" w:line="240" w:lineRule="auto"/>
      </w:pPr>
      <w:r>
        <w:separator/>
      </w:r>
    </w:p>
  </w:footnote>
  <w:footnote w:type="continuationSeparator" w:id="0">
    <w:p w:rsidR="0083298C" w:rsidRDefault="0083298C" w:rsidP="0075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82C" w:rsidRDefault="0075182C" w:rsidP="0075182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C46531" wp14:editId="316AEB42">
          <wp:extent cx="1912188" cy="584582"/>
          <wp:effectExtent l="0" t="0" r="0" b="6350"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770" cy="60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182C" w:rsidRDefault="007518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28E40F3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b/>
        <w:bCs/>
        <w:sz w:val="22"/>
        <w:szCs w:val="22"/>
      </w:rPr>
    </w:lvl>
  </w:abstractNum>
  <w:abstractNum w:abstractNumId="1">
    <w:nsid w:val="00000003"/>
    <w:multiLevelType w:val="multilevel"/>
    <w:tmpl w:val="2ECE03FA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90" w:hanging="390"/>
      </w:pPr>
      <w:rPr>
        <w:b/>
        <w:bCs/>
        <w:kern w:val="1"/>
        <w:sz w:val="22"/>
        <w:szCs w:val="22"/>
        <w:shd w:val="clear" w:color="auto" w:fill="FFFFFF"/>
        <w:lang w:val="pt-BR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90" w:hanging="390"/>
      </w:pPr>
      <w:rPr>
        <w:rFonts w:ascii="Calibri" w:eastAsia="Calibri" w:hAnsi="Calibri" w:cs="Calibri"/>
        <w:b w:val="0"/>
        <w:bCs/>
        <w:color w:val="000000"/>
        <w:kern w:val="1"/>
        <w:sz w:val="22"/>
        <w:szCs w:val="22"/>
        <w:shd w:val="clear" w:color="auto" w:fill="FFFFFF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Cs/>
        <w:color w:val="auto"/>
        <w:sz w:val="22"/>
        <w:szCs w:val="22"/>
        <w:lang w:val="pt-BR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upperRoman"/>
      <w:lvlText w:val="%1."/>
      <w:lvlJc w:val="right"/>
      <w:pPr>
        <w:tabs>
          <w:tab w:val="num" w:pos="1429"/>
        </w:tabs>
        <w:ind w:left="1429" w:hanging="360"/>
      </w:pPr>
      <w:rPr>
        <w:b/>
        <w:bCs/>
        <w:color w:val="000000"/>
        <w:sz w:val="22"/>
        <w:szCs w:val="22"/>
      </w:rPr>
    </w:lvl>
    <w:lvl w:ilvl="1">
      <w:start w:val="1"/>
      <w:numFmt w:val="upperRoman"/>
      <w:lvlText w:val="%2."/>
      <w:lvlJc w:val="right"/>
      <w:pPr>
        <w:tabs>
          <w:tab w:val="num" w:pos="2149"/>
        </w:tabs>
        <w:ind w:left="2149" w:hanging="360"/>
      </w:pPr>
    </w:lvl>
    <w:lvl w:ilvl="2">
      <w:start w:val="1"/>
      <w:numFmt w:val="upperRoman"/>
      <w:lvlText w:val="%3."/>
      <w:lvlJc w:val="right"/>
      <w:pPr>
        <w:tabs>
          <w:tab w:val="num" w:pos="2869"/>
        </w:tabs>
        <w:ind w:left="2869" w:hanging="360"/>
      </w:pPr>
    </w:lvl>
    <w:lvl w:ilvl="3">
      <w:start w:val="1"/>
      <w:numFmt w:val="upperRoman"/>
      <w:lvlText w:val="%4."/>
      <w:lvlJc w:val="right"/>
      <w:pPr>
        <w:tabs>
          <w:tab w:val="num" w:pos="3589"/>
        </w:tabs>
        <w:ind w:left="3589" w:hanging="360"/>
      </w:pPr>
    </w:lvl>
    <w:lvl w:ilvl="4">
      <w:start w:val="1"/>
      <w:numFmt w:val="upperRoman"/>
      <w:lvlText w:val="%5."/>
      <w:lvlJc w:val="right"/>
      <w:pPr>
        <w:tabs>
          <w:tab w:val="num" w:pos="4309"/>
        </w:tabs>
        <w:ind w:left="4309" w:hanging="360"/>
      </w:pPr>
    </w:lvl>
    <w:lvl w:ilvl="5">
      <w:start w:val="1"/>
      <w:numFmt w:val="upperRoman"/>
      <w:lvlText w:val="%6."/>
      <w:lvlJc w:val="right"/>
      <w:pPr>
        <w:tabs>
          <w:tab w:val="num" w:pos="5029"/>
        </w:tabs>
        <w:ind w:left="5029" w:hanging="360"/>
      </w:pPr>
    </w:lvl>
    <w:lvl w:ilvl="6">
      <w:start w:val="1"/>
      <w:numFmt w:val="upperRoman"/>
      <w:lvlText w:val="%7."/>
      <w:lvlJc w:val="right"/>
      <w:pPr>
        <w:tabs>
          <w:tab w:val="num" w:pos="5749"/>
        </w:tabs>
        <w:ind w:left="5749" w:hanging="360"/>
      </w:pPr>
    </w:lvl>
    <w:lvl w:ilvl="7">
      <w:start w:val="1"/>
      <w:numFmt w:val="upperRoman"/>
      <w:lvlText w:val="%8."/>
      <w:lvlJc w:val="right"/>
      <w:pPr>
        <w:tabs>
          <w:tab w:val="num" w:pos="6469"/>
        </w:tabs>
        <w:ind w:left="6469" w:hanging="360"/>
      </w:pPr>
    </w:lvl>
    <w:lvl w:ilvl="8">
      <w:start w:val="1"/>
      <w:numFmt w:val="upperRoman"/>
      <w:lvlText w:val="%9."/>
      <w:lvlJc w:val="right"/>
      <w:pPr>
        <w:tabs>
          <w:tab w:val="num" w:pos="7189"/>
        </w:tabs>
        <w:ind w:left="7189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  <w:color w:val="000000"/>
        <w:sz w:val="22"/>
        <w:szCs w:val="22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  <w:rPr>
        <w:b/>
        <w:bCs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2ED79DD"/>
    <w:multiLevelType w:val="multilevel"/>
    <w:tmpl w:val="4224EE1C"/>
    <w:numStyleLink w:val="Estilo3"/>
  </w:abstractNum>
  <w:abstractNum w:abstractNumId="5">
    <w:nsid w:val="0CEE4A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24807F6"/>
    <w:multiLevelType w:val="multilevel"/>
    <w:tmpl w:val="0416001F"/>
    <w:styleLink w:val="Estilo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395B37"/>
    <w:multiLevelType w:val="multilevel"/>
    <w:tmpl w:val="0DD89E18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2.%2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343FC"/>
    <w:multiLevelType w:val="multilevel"/>
    <w:tmpl w:val="4224EE1C"/>
    <w:styleLink w:val="Estilo3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2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DD50279"/>
    <w:multiLevelType w:val="multilevel"/>
    <w:tmpl w:val="742887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FFB35B7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74A440B"/>
    <w:multiLevelType w:val="multilevel"/>
    <w:tmpl w:val="18C0DA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A342C83"/>
    <w:multiLevelType w:val="multilevel"/>
    <w:tmpl w:val="99EC6B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C3328B7"/>
    <w:multiLevelType w:val="multilevel"/>
    <w:tmpl w:val="5ED2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321A88"/>
    <w:multiLevelType w:val="multilevel"/>
    <w:tmpl w:val="7646D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3DE4E55"/>
    <w:multiLevelType w:val="multilevel"/>
    <w:tmpl w:val="B706D5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8F6569F"/>
    <w:multiLevelType w:val="multilevel"/>
    <w:tmpl w:val="B4DC0794"/>
    <w:lvl w:ilvl="0">
      <w:start w:val="1"/>
      <w:numFmt w:val="decimal"/>
      <w:pStyle w:val="Ttu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D8B0B88"/>
    <w:multiLevelType w:val="multilevel"/>
    <w:tmpl w:val="0416001F"/>
    <w:numStyleLink w:val="Estilo4"/>
  </w:abstractNum>
  <w:num w:numId="1">
    <w:abstractNumId w:val="14"/>
  </w:num>
  <w:num w:numId="2">
    <w:abstractNumId w:val="10"/>
  </w:num>
  <w:num w:numId="3">
    <w:abstractNumId w:val="13"/>
  </w:num>
  <w:num w:numId="4">
    <w:abstractNumId w:val="9"/>
  </w:num>
  <w:num w:numId="5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4"/>
    <w:lvlOverride w:ilvl="0">
      <w:lvl w:ilvl="0">
        <w:start w:val="4"/>
        <w:numFmt w:val="non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Zero"/>
        <w:lvlText w:val="%2"/>
        <w:lvlJc w:val="left"/>
        <w:pPr>
          <w:ind w:left="432" w:hanging="432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17"/>
  </w:num>
  <w:num w:numId="12">
    <w:abstractNumId w:val="6"/>
  </w:num>
  <w:num w:numId="13">
    <w:abstractNumId w:val="15"/>
  </w:num>
  <w:num w:numId="14">
    <w:abstractNumId w:val="12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5"/>
  </w:num>
  <w:num w:numId="30">
    <w:abstractNumId w:val="16"/>
  </w:num>
  <w:num w:numId="31">
    <w:abstractNumId w:val="11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0"/>
  </w:num>
  <w:num w:numId="39">
    <w:abstractNumId w:val="1"/>
  </w:num>
  <w:num w:numId="40">
    <w:abstractNumId w:val="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07"/>
    <w:rsid w:val="00052C7C"/>
    <w:rsid w:val="000F23D9"/>
    <w:rsid w:val="000F7369"/>
    <w:rsid w:val="00154BF2"/>
    <w:rsid w:val="001D228A"/>
    <w:rsid w:val="00246B64"/>
    <w:rsid w:val="00265936"/>
    <w:rsid w:val="00281407"/>
    <w:rsid w:val="002A488D"/>
    <w:rsid w:val="002F4339"/>
    <w:rsid w:val="00386130"/>
    <w:rsid w:val="004763D1"/>
    <w:rsid w:val="005B6EE2"/>
    <w:rsid w:val="00646D58"/>
    <w:rsid w:val="00707C03"/>
    <w:rsid w:val="0075182C"/>
    <w:rsid w:val="007B58CC"/>
    <w:rsid w:val="0083298C"/>
    <w:rsid w:val="008A4BEC"/>
    <w:rsid w:val="0093252A"/>
    <w:rsid w:val="0095322B"/>
    <w:rsid w:val="00B656C3"/>
    <w:rsid w:val="00B66101"/>
    <w:rsid w:val="00BD1653"/>
    <w:rsid w:val="00CB6E58"/>
    <w:rsid w:val="00CC6F13"/>
    <w:rsid w:val="00CF3A0E"/>
    <w:rsid w:val="00D0597F"/>
    <w:rsid w:val="00DB002F"/>
    <w:rsid w:val="00D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C5FC4B-45D1-4261-8C8B-FCD0079E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407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54B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Termo de Referencia"/>
    <w:basedOn w:val="Normal"/>
    <w:next w:val="Normal"/>
    <w:link w:val="TtuloChar"/>
    <w:autoRedefine/>
    <w:uiPriority w:val="10"/>
    <w:qFormat/>
    <w:rsid w:val="00386130"/>
    <w:pPr>
      <w:numPr>
        <w:numId w:val="30"/>
      </w:numPr>
      <w:jc w:val="both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tuloChar">
    <w:name w:val="Título Char"/>
    <w:aliases w:val="Termo de Referencia Char"/>
    <w:basedOn w:val="Fontepargpadro"/>
    <w:link w:val="Ttulo"/>
    <w:uiPriority w:val="10"/>
    <w:rsid w:val="00386130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DB002F"/>
    <w:pPr>
      <w:spacing w:after="0"/>
      <w:jc w:val="both"/>
    </w:pPr>
    <w:rPr>
      <w:rFonts w:ascii="Times New Roman" w:eastAsiaTheme="minorEastAsia" w:hAnsi="Times New Roman" w:cs="Times New Roman"/>
      <w:color w:val="000000" w:themeColor="tex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B002F"/>
    <w:rPr>
      <w:rFonts w:ascii="Times New Roman" w:eastAsiaTheme="minorEastAsia" w:hAnsi="Times New Roman" w:cs="Times New Roman"/>
      <w:color w:val="000000" w:themeColor="text1"/>
      <w:spacing w:val="15"/>
      <w:sz w:val="24"/>
      <w:szCs w:val="24"/>
    </w:rPr>
  </w:style>
  <w:style w:type="numbering" w:customStyle="1" w:styleId="Estilo1">
    <w:name w:val="Estilo1"/>
    <w:uiPriority w:val="99"/>
    <w:rsid w:val="00CC6F13"/>
    <w:pPr>
      <w:numPr>
        <w:numId w:val="2"/>
      </w:numPr>
    </w:pPr>
  </w:style>
  <w:style w:type="numbering" w:customStyle="1" w:styleId="Estilo10">
    <w:name w:val="Estilo1"/>
    <w:next w:val="Estilo1"/>
    <w:uiPriority w:val="99"/>
    <w:rsid w:val="00CC6F13"/>
  </w:style>
  <w:style w:type="paragraph" w:styleId="PargrafodaLista">
    <w:name w:val="List Paragraph"/>
    <w:basedOn w:val="Normal"/>
    <w:qFormat/>
    <w:rsid w:val="00CC6F13"/>
    <w:pPr>
      <w:ind w:left="720"/>
      <w:contextualSpacing/>
    </w:pPr>
  </w:style>
  <w:style w:type="numbering" w:customStyle="1" w:styleId="Estilo2">
    <w:name w:val="Estilo2"/>
    <w:uiPriority w:val="99"/>
    <w:rsid w:val="00CC6F13"/>
    <w:pPr>
      <w:numPr>
        <w:numId w:val="7"/>
      </w:numPr>
    </w:pPr>
  </w:style>
  <w:style w:type="numbering" w:customStyle="1" w:styleId="Estilo3">
    <w:name w:val="Estilo3"/>
    <w:uiPriority w:val="99"/>
    <w:rsid w:val="0075182C"/>
    <w:pPr>
      <w:numPr>
        <w:numId w:val="9"/>
      </w:numPr>
    </w:pPr>
  </w:style>
  <w:style w:type="numbering" w:customStyle="1" w:styleId="Estilo4">
    <w:name w:val="Estilo4"/>
    <w:uiPriority w:val="99"/>
    <w:rsid w:val="0075182C"/>
    <w:pPr>
      <w:numPr>
        <w:numId w:val="12"/>
      </w:numPr>
    </w:pPr>
  </w:style>
  <w:style w:type="paragraph" w:styleId="Cabealho">
    <w:name w:val="header"/>
    <w:basedOn w:val="Normal"/>
    <w:link w:val="CabealhoChar"/>
    <w:uiPriority w:val="99"/>
    <w:unhideWhenUsed/>
    <w:rsid w:val="00751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82C"/>
  </w:style>
  <w:style w:type="paragraph" w:styleId="Rodap">
    <w:name w:val="footer"/>
    <w:basedOn w:val="Normal"/>
    <w:link w:val="RodapChar"/>
    <w:uiPriority w:val="99"/>
    <w:unhideWhenUsed/>
    <w:rsid w:val="00751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82C"/>
  </w:style>
  <w:style w:type="character" w:styleId="Hyperlink">
    <w:name w:val="Hyperlink"/>
    <w:basedOn w:val="Fontepargpadro"/>
    <w:uiPriority w:val="99"/>
    <w:unhideWhenUsed/>
    <w:rsid w:val="00154BF2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54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154BF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A488D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70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2">
    <w:name w:val="toc 2"/>
    <w:basedOn w:val="Normal"/>
    <w:next w:val="Normal"/>
    <w:autoRedefine/>
    <w:uiPriority w:val="39"/>
    <w:unhideWhenUsed/>
    <w:rsid w:val="00B656C3"/>
    <w:pPr>
      <w:spacing w:before="240" w:after="0"/>
    </w:pPr>
    <w:rPr>
      <w:rFonts w:cstheme="minorHAnsi"/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B656C3"/>
    <w:pPr>
      <w:spacing w:after="0"/>
      <w:ind w:left="220"/>
    </w:pPr>
    <w:rPr>
      <w:rFonts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B656C3"/>
    <w:pPr>
      <w:spacing w:after="0"/>
      <w:ind w:left="440"/>
    </w:pPr>
    <w:rPr>
      <w:rFonts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B656C3"/>
    <w:pPr>
      <w:spacing w:after="0"/>
      <w:ind w:left="660"/>
    </w:pPr>
    <w:rPr>
      <w:rFonts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B656C3"/>
    <w:pPr>
      <w:spacing w:after="0"/>
      <w:ind w:left="880"/>
    </w:pPr>
    <w:rPr>
      <w:rFonts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B656C3"/>
    <w:pPr>
      <w:spacing w:after="0"/>
      <w:ind w:left="1100"/>
    </w:pPr>
    <w:rPr>
      <w:rFonts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B656C3"/>
    <w:pPr>
      <w:spacing w:after="0"/>
      <w:ind w:left="1320"/>
    </w:pPr>
    <w:rPr>
      <w:rFonts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B656C3"/>
    <w:pPr>
      <w:spacing w:after="0"/>
      <w:ind w:left="1540"/>
    </w:pPr>
    <w:rPr>
      <w:rFonts w:cstheme="minorHAnsi"/>
      <w:sz w:val="20"/>
      <w:szCs w:val="20"/>
    </w:rPr>
  </w:style>
  <w:style w:type="paragraph" w:customStyle="1" w:styleId="PargrafodaLista1">
    <w:name w:val="Parágrafo da Lista1"/>
    <w:basedOn w:val="Normal"/>
    <w:rsid w:val="00052C7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Normal"/>
    <w:rsid w:val="00052C7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eio.al.gov.br/ars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F3CA-1D5C-4318-9F9E-528619FA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1759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Josivaldo</dc:creator>
  <cp:keywords/>
  <dc:description/>
  <cp:lastModifiedBy>Fabricio de Vasconcelos Costa</cp:lastModifiedBy>
  <cp:revision>4</cp:revision>
  <dcterms:created xsi:type="dcterms:W3CDTF">2019-05-28T12:10:00Z</dcterms:created>
  <dcterms:modified xsi:type="dcterms:W3CDTF">2019-05-28T12:12:00Z</dcterms:modified>
</cp:coreProperties>
</file>