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01" w:rsidRPr="00435367" w:rsidRDefault="00C54501" w:rsidP="002C42EC">
      <w:pPr>
        <w:spacing w:after="0" w:line="240" w:lineRule="auto"/>
        <w:jc w:val="both"/>
        <w:rPr>
          <w:rFonts w:cstheme="minorHAnsi"/>
        </w:rPr>
      </w:pPr>
      <w:r w:rsidRPr="00435367">
        <w:rPr>
          <w:rFonts w:cstheme="minorHAnsi"/>
          <w:b/>
        </w:rPr>
        <w:t xml:space="preserve">Processo nº: </w:t>
      </w:r>
      <w:r w:rsidRPr="00435367">
        <w:rPr>
          <w:rFonts w:cstheme="minorHAnsi"/>
        </w:rPr>
        <w:t>6700.036107/2019.</w:t>
      </w:r>
    </w:p>
    <w:p w:rsidR="002C42EC" w:rsidRPr="00435367" w:rsidRDefault="002C42EC" w:rsidP="002C42EC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eastAsia="Calibri" w:cstheme="minorHAnsi"/>
          <w:b/>
          <w:color w:val="000000"/>
        </w:rPr>
      </w:pPr>
      <w:r w:rsidRPr="00435367">
        <w:rPr>
          <w:rFonts w:eastAsia="Calibri" w:cstheme="minorHAnsi"/>
          <w:b/>
        </w:rPr>
        <w:t>Pregão Eletrônico nº 090/2019 (</w:t>
      </w:r>
      <w:r w:rsidRPr="00435367">
        <w:rPr>
          <w:rFonts w:eastAsia="Calibri" w:cstheme="minorHAnsi"/>
          <w:color w:val="000000"/>
          <w:shd w:val="clear" w:color="auto" w:fill="FFFFFF"/>
        </w:rPr>
        <w:t>UASG: 926703</w:t>
      </w:r>
      <w:r w:rsidRPr="00435367">
        <w:rPr>
          <w:rFonts w:eastAsia="Calibri" w:cstheme="minorHAnsi"/>
          <w:b/>
        </w:rPr>
        <w:t>)</w:t>
      </w:r>
    </w:p>
    <w:p w:rsidR="00C54501" w:rsidRPr="00435367" w:rsidRDefault="00C54501" w:rsidP="002C42EC">
      <w:pPr>
        <w:spacing w:after="0" w:line="240" w:lineRule="auto"/>
        <w:jc w:val="both"/>
        <w:rPr>
          <w:rFonts w:cstheme="minorHAnsi"/>
        </w:rPr>
      </w:pPr>
      <w:r w:rsidRPr="00435367">
        <w:rPr>
          <w:rFonts w:cstheme="minorHAnsi"/>
          <w:b/>
        </w:rPr>
        <w:t>Ob</w:t>
      </w:r>
      <w:r w:rsidR="002C42EC" w:rsidRPr="00435367">
        <w:rPr>
          <w:rFonts w:cstheme="minorHAnsi"/>
          <w:b/>
        </w:rPr>
        <w:t>je</w:t>
      </w:r>
      <w:r w:rsidRPr="00435367">
        <w:rPr>
          <w:rFonts w:cstheme="minorHAnsi"/>
          <w:b/>
        </w:rPr>
        <w:t>to:</w:t>
      </w:r>
      <w:r w:rsidRPr="00435367">
        <w:rPr>
          <w:rFonts w:cstheme="minorHAnsi"/>
        </w:rPr>
        <w:t xml:space="preserve"> Formalização de ARP para futuro fornecimento de placas e cavaletes de identificação de obras (com instalação), para atendimento aos diversos Órgãos e Entidades da Administração Pública do Município de Maceió.</w:t>
      </w:r>
    </w:p>
    <w:p w:rsidR="00437084" w:rsidRPr="00435367" w:rsidRDefault="00437084" w:rsidP="00D810E2">
      <w:pPr>
        <w:spacing w:after="0" w:line="240" w:lineRule="auto"/>
        <w:jc w:val="both"/>
        <w:rPr>
          <w:rFonts w:eastAsia="Calibri" w:cstheme="minorHAnsi"/>
          <w:b/>
        </w:rPr>
      </w:pPr>
    </w:p>
    <w:p w:rsidR="00437084" w:rsidRPr="00435367" w:rsidRDefault="00437084" w:rsidP="00D81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5367">
        <w:rPr>
          <w:rFonts w:eastAsia="Calibri" w:cstheme="minorHAnsi"/>
        </w:rPr>
        <w:t xml:space="preserve">Trata-se de análise do recurso administrativo interposto pela empresa </w:t>
      </w:r>
      <w:r w:rsidR="00FF446C" w:rsidRPr="00435367">
        <w:rPr>
          <w:rFonts w:eastAsia="Verdana" w:cstheme="minorHAnsi"/>
          <w:b/>
          <w:bCs/>
          <w:w w:val="105"/>
          <w:lang w:val="pt-PT" w:eastAsia="pt-PT" w:bidi="pt-PT"/>
        </w:rPr>
        <w:t>R</w:t>
      </w:r>
      <w:r w:rsidR="00456441" w:rsidRPr="00435367">
        <w:rPr>
          <w:rFonts w:eastAsia="Verdana" w:cstheme="minorHAnsi"/>
          <w:b/>
          <w:bCs/>
          <w:w w:val="105"/>
          <w:lang w:val="pt-PT" w:eastAsia="pt-PT" w:bidi="pt-PT"/>
        </w:rPr>
        <w:t xml:space="preserve">S 2 PUBLICIDADE </w:t>
      </w:r>
      <w:r w:rsidR="00BF1948" w:rsidRPr="00435367">
        <w:rPr>
          <w:rFonts w:eastAsia="Verdana" w:cstheme="minorHAnsi"/>
          <w:b/>
          <w:bCs/>
          <w:w w:val="105"/>
          <w:lang w:val="pt-PT" w:eastAsia="pt-PT" w:bidi="pt-PT"/>
        </w:rPr>
        <w:t>LTDA</w:t>
      </w:r>
      <w:r w:rsidR="00FF446C" w:rsidRPr="00435367">
        <w:rPr>
          <w:rFonts w:eastAsia="Verdana" w:cstheme="minorHAnsi"/>
          <w:w w:val="105"/>
          <w:lang w:val="pt-PT" w:eastAsia="pt-PT" w:bidi="pt-PT"/>
        </w:rPr>
        <w:t xml:space="preserve">, </w:t>
      </w:r>
      <w:r w:rsidR="00F36F76" w:rsidRPr="00435367">
        <w:rPr>
          <w:rFonts w:eastAsia="Calibri" w:cstheme="minorHAnsi"/>
          <w:color w:val="000000"/>
          <w:shd w:val="clear" w:color="auto" w:fill="FFFFFF"/>
        </w:rPr>
        <w:t xml:space="preserve">inscrita no </w:t>
      </w:r>
      <w:r w:rsidR="00F36F76" w:rsidRPr="00435367">
        <w:rPr>
          <w:rFonts w:cstheme="minorHAnsi"/>
        </w:rPr>
        <w:t xml:space="preserve">CNPJ/MF sob o n.º </w:t>
      </w:r>
      <w:r w:rsidR="00BF1948" w:rsidRPr="00435367">
        <w:rPr>
          <w:rFonts w:cstheme="minorHAnsi"/>
        </w:rPr>
        <w:t>14</w:t>
      </w:r>
      <w:r w:rsidR="00FF446C" w:rsidRPr="00435367">
        <w:rPr>
          <w:rFonts w:eastAsia="Verdana" w:cstheme="minorHAnsi"/>
          <w:w w:val="105"/>
          <w:lang w:val="pt-PT" w:eastAsia="pt-PT" w:bidi="pt-PT"/>
        </w:rPr>
        <w:t>.</w:t>
      </w:r>
      <w:r w:rsidR="00BF1948" w:rsidRPr="00435367">
        <w:rPr>
          <w:rFonts w:eastAsia="Verdana" w:cstheme="minorHAnsi"/>
          <w:w w:val="105"/>
          <w:lang w:val="pt-PT" w:eastAsia="pt-PT" w:bidi="pt-PT"/>
        </w:rPr>
        <w:t>634</w:t>
      </w:r>
      <w:r w:rsidR="00FF446C" w:rsidRPr="00435367">
        <w:rPr>
          <w:rFonts w:eastAsia="Verdana" w:cstheme="minorHAnsi"/>
          <w:w w:val="105"/>
          <w:lang w:val="pt-PT" w:eastAsia="pt-PT" w:bidi="pt-PT"/>
        </w:rPr>
        <w:t>.</w:t>
      </w:r>
      <w:r w:rsidR="00BF1948" w:rsidRPr="00435367">
        <w:rPr>
          <w:rFonts w:eastAsia="Verdana" w:cstheme="minorHAnsi"/>
          <w:w w:val="105"/>
          <w:lang w:val="pt-PT" w:eastAsia="pt-PT" w:bidi="pt-PT"/>
        </w:rPr>
        <w:t>618</w:t>
      </w:r>
      <w:r w:rsidR="00FF446C" w:rsidRPr="00435367">
        <w:rPr>
          <w:rFonts w:eastAsia="Verdana" w:cstheme="minorHAnsi"/>
          <w:w w:val="105"/>
          <w:lang w:val="pt-PT" w:eastAsia="pt-PT" w:bidi="pt-PT"/>
        </w:rPr>
        <w:t>/0001-1</w:t>
      </w:r>
      <w:r w:rsidR="00BF1948" w:rsidRPr="00435367">
        <w:rPr>
          <w:rFonts w:eastAsia="Verdana" w:cstheme="minorHAnsi"/>
          <w:w w:val="105"/>
          <w:lang w:val="pt-PT" w:eastAsia="pt-PT" w:bidi="pt-PT"/>
        </w:rPr>
        <w:t>8</w:t>
      </w:r>
      <w:r w:rsidRPr="00435367">
        <w:rPr>
          <w:rFonts w:eastAsia="Calibri" w:cstheme="minorHAnsi"/>
          <w:color w:val="000000"/>
          <w:shd w:val="clear" w:color="auto" w:fill="FFFFFF"/>
        </w:rPr>
        <w:t xml:space="preserve">, </w:t>
      </w:r>
      <w:r w:rsidRPr="00435367">
        <w:rPr>
          <w:rFonts w:eastAsia="Calibri" w:cstheme="minorHAnsi"/>
        </w:rPr>
        <w:t xml:space="preserve">contra a decisão que </w:t>
      </w:r>
      <w:r w:rsidR="00F36F76" w:rsidRPr="00435367">
        <w:rPr>
          <w:rFonts w:eastAsia="Calibri" w:cstheme="minorHAnsi"/>
        </w:rPr>
        <w:t>H</w:t>
      </w:r>
      <w:r w:rsidR="001A1EB7" w:rsidRPr="00435367">
        <w:rPr>
          <w:rFonts w:eastAsia="Calibri" w:cstheme="minorHAnsi"/>
        </w:rPr>
        <w:t xml:space="preserve">abilitou e </w:t>
      </w:r>
      <w:r w:rsidRPr="00435367">
        <w:rPr>
          <w:rFonts w:eastAsia="Calibri" w:cstheme="minorHAnsi"/>
        </w:rPr>
        <w:t>declarou a empresa</w:t>
      </w:r>
      <w:r w:rsidRPr="00435367">
        <w:rPr>
          <w:rFonts w:eastAsia="Calibri" w:cstheme="minorHAnsi"/>
          <w:b/>
        </w:rPr>
        <w:t xml:space="preserve"> </w:t>
      </w:r>
      <w:r w:rsidR="006C0A99" w:rsidRPr="00435367">
        <w:rPr>
          <w:rFonts w:cstheme="minorHAnsi"/>
          <w:b/>
          <w:bCs/>
        </w:rPr>
        <w:t>SIDNEY GOUVEIA DOS SANTOS</w:t>
      </w:r>
      <w:r w:rsidR="004D797F" w:rsidRPr="00435367">
        <w:rPr>
          <w:rFonts w:cstheme="minorHAnsi"/>
          <w:b/>
          <w:bCs/>
        </w:rPr>
        <w:t>-ME</w:t>
      </w:r>
      <w:r w:rsidR="00BA14CF" w:rsidRPr="00435367">
        <w:rPr>
          <w:rFonts w:cstheme="minorHAnsi"/>
          <w:b/>
          <w:bCs/>
        </w:rPr>
        <w:t>,</w:t>
      </w:r>
      <w:r w:rsidR="00F36F76" w:rsidRPr="00435367">
        <w:rPr>
          <w:rFonts w:cstheme="minorHAnsi"/>
          <w:b/>
          <w:bCs/>
        </w:rPr>
        <w:t xml:space="preserve"> </w:t>
      </w:r>
      <w:r w:rsidR="0040193C" w:rsidRPr="00435367">
        <w:rPr>
          <w:rFonts w:eastAsia="Calibri" w:cstheme="minorHAnsi"/>
          <w:color w:val="000000"/>
          <w:shd w:val="clear" w:color="auto" w:fill="FFFFFF"/>
        </w:rPr>
        <w:t xml:space="preserve">inscrita no </w:t>
      </w:r>
      <w:r w:rsidR="0040193C" w:rsidRPr="00435367">
        <w:rPr>
          <w:rFonts w:cstheme="minorHAnsi"/>
        </w:rPr>
        <w:t xml:space="preserve">CNPJ/MF sob o n.º </w:t>
      </w:r>
      <w:r w:rsidR="008A231B" w:rsidRPr="00435367">
        <w:rPr>
          <w:rFonts w:cstheme="minorHAnsi"/>
        </w:rPr>
        <w:t>14.021.812/0001-28</w:t>
      </w:r>
      <w:r w:rsidR="00F36F76" w:rsidRPr="00435367">
        <w:rPr>
          <w:rFonts w:cstheme="minorHAnsi"/>
        </w:rPr>
        <w:t>,</w:t>
      </w:r>
      <w:r w:rsidRPr="00435367">
        <w:rPr>
          <w:rFonts w:eastAsia="Calibri" w:cstheme="minorHAnsi"/>
        </w:rPr>
        <w:t xml:space="preserve"> vencedora do</w:t>
      </w:r>
      <w:r w:rsidR="001A1EB7" w:rsidRPr="00435367">
        <w:rPr>
          <w:rFonts w:eastAsia="Calibri" w:cstheme="minorHAnsi"/>
        </w:rPr>
        <w:t xml:space="preserve"> </w:t>
      </w:r>
      <w:r w:rsidR="001F77C0" w:rsidRPr="00435367">
        <w:rPr>
          <w:rFonts w:eastAsia="Calibri" w:cstheme="minorHAnsi"/>
        </w:rPr>
        <w:t>ite</w:t>
      </w:r>
      <w:r w:rsidR="00A4517F" w:rsidRPr="00435367">
        <w:rPr>
          <w:rFonts w:eastAsia="Calibri" w:cstheme="minorHAnsi"/>
        </w:rPr>
        <w:t>m</w:t>
      </w:r>
      <w:r w:rsidR="001F77C0" w:rsidRPr="00435367">
        <w:rPr>
          <w:rFonts w:eastAsia="Calibri" w:cstheme="minorHAnsi"/>
        </w:rPr>
        <w:t xml:space="preserve"> </w:t>
      </w:r>
      <w:r w:rsidR="00A4517F" w:rsidRPr="00435367">
        <w:rPr>
          <w:rFonts w:eastAsia="Calibri" w:cstheme="minorHAnsi"/>
        </w:rPr>
        <w:t>6</w:t>
      </w:r>
      <w:r w:rsidR="0095331E" w:rsidRPr="00435367">
        <w:rPr>
          <w:rFonts w:eastAsia="Calibri" w:cstheme="minorHAnsi"/>
        </w:rPr>
        <w:t xml:space="preserve"> do </w:t>
      </w:r>
      <w:r w:rsidR="001A1EB7" w:rsidRPr="00435367">
        <w:rPr>
          <w:rFonts w:eastAsia="Calibri" w:cstheme="minorHAnsi"/>
        </w:rPr>
        <w:t>ce</w:t>
      </w:r>
      <w:r w:rsidR="00F96865" w:rsidRPr="00435367">
        <w:rPr>
          <w:rFonts w:eastAsia="Calibri" w:cstheme="minorHAnsi"/>
        </w:rPr>
        <w:t>r</w:t>
      </w:r>
      <w:r w:rsidR="001A1EB7" w:rsidRPr="00435367">
        <w:rPr>
          <w:rFonts w:eastAsia="Calibri" w:cstheme="minorHAnsi"/>
        </w:rPr>
        <w:t>tame</w:t>
      </w:r>
      <w:r w:rsidRPr="00435367">
        <w:rPr>
          <w:rFonts w:eastAsia="Calibri" w:cstheme="minorHAnsi"/>
        </w:rPr>
        <w:t>.</w:t>
      </w:r>
    </w:p>
    <w:p w:rsidR="00437084" w:rsidRPr="00435367" w:rsidRDefault="00437084" w:rsidP="00D810E2">
      <w:pPr>
        <w:spacing w:after="0" w:line="240" w:lineRule="auto"/>
        <w:jc w:val="both"/>
        <w:rPr>
          <w:rFonts w:eastAsia="Calibri" w:cstheme="minorHAnsi"/>
        </w:rPr>
      </w:pPr>
    </w:p>
    <w:p w:rsidR="00437084" w:rsidRPr="00435367" w:rsidRDefault="00844DF1" w:rsidP="00D810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b/>
        </w:rPr>
      </w:pPr>
      <w:r w:rsidRPr="00435367">
        <w:rPr>
          <w:rFonts w:eastAsia="Calibri" w:cstheme="minorHAnsi"/>
          <w:b/>
        </w:rPr>
        <w:t xml:space="preserve">DA </w:t>
      </w:r>
      <w:r w:rsidR="00437084" w:rsidRPr="00435367">
        <w:rPr>
          <w:rFonts w:eastAsia="Calibri" w:cstheme="minorHAnsi"/>
          <w:b/>
        </w:rPr>
        <w:t>TEMPESTIVIDADE</w:t>
      </w:r>
    </w:p>
    <w:p w:rsidR="00437084" w:rsidRPr="00435367" w:rsidRDefault="00437084" w:rsidP="00D810E2">
      <w:pPr>
        <w:spacing w:after="0" w:line="240" w:lineRule="auto"/>
        <w:ind w:left="284"/>
        <w:jc w:val="both"/>
        <w:rPr>
          <w:rFonts w:eastAsia="Calibri" w:cstheme="minorHAnsi"/>
        </w:rPr>
      </w:pPr>
      <w:r w:rsidRPr="00435367">
        <w:rPr>
          <w:rFonts w:eastAsia="Calibri" w:cstheme="minorHAnsi"/>
        </w:rPr>
        <w:t xml:space="preserve">Inicialmente registre-se que a recorrente </w:t>
      </w:r>
      <w:bookmarkStart w:id="0" w:name="_Hlk13561268"/>
      <w:r w:rsidR="00563EBF" w:rsidRPr="00435367">
        <w:rPr>
          <w:rFonts w:eastAsia="Verdana" w:cstheme="minorHAnsi"/>
          <w:b/>
          <w:bCs/>
          <w:w w:val="105"/>
          <w:lang w:val="pt-PT" w:eastAsia="pt-PT" w:bidi="pt-PT"/>
        </w:rPr>
        <w:t>RS 2 PUBLICIDADE LTDA</w:t>
      </w:r>
      <w:bookmarkEnd w:id="0"/>
      <w:r w:rsidR="00305D9B" w:rsidRPr="00435367">
        <w:rPr>
          <w:rFonts w:eastAsia="Calibri" w:cstheme="minorHAnsi"/>
        </w:rPr>
        <w:t>,</w:t>
      </w:r>
      <w:r w:rsidRPr="00435367">
        <w:rPr>
          <w:rFonts w:eastAsia="Calibri" w:cstheme="minorHAnsi"/>
        </w:rPr>
        <w:t xml:space="preserve"> manifestou tempestivamente no sistema Comprasnet, intenção de recursar e anexou as razões do seu pedido de RECURSO ADMINISTRATIVO, no citado sistema.</w:t>
      </w:r>
    </w:p>
    <w:p w:rsidR="00305D9B" w:rsidRPr="00435367" w:rsidRDefault="00305D9B" w:rsidP="00D810E2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305D9B" w:rsidRPr="00435367" w:rsidRDefault="00305D9B" w:rsidP="00D810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b/>
        </w:rPr>
      </w:pPr>
      <w:r w:rsidRPr="00435367">
        <w:rPr>
          <w:rFonts w:eastAsia="Calibri" w:cstheme="minorHAnsi"/>
          <w:b/>
        </w:rPr>
        <w:t>DAS RAZÕES DO RECURSO:</w:t>
      </w:r>
    </w:p>
    <w:p w:rsidR="00854E40" w:rsidRPr="00435367" w:rsidRDefault="00275E7B" w:rsidP="00122D3E">
      <w:pPr>
        <w:spacing w:after="0" w:line="240" w:lineRule="auto"/>
        <w:ind w:left="284"/>
        <w:jc w:val="both"/>
        <w:rPr>
          <w:rFonts w:eastAsia="Calibri" w:cstheme="minorHAnsi"/>
        </w:rPr>
      </w:pPr>
      <w:r w:rsidRPr="00435367">
        <w:rPr>
          <w:rFonts w:eastAsia="Calibri" w:cstheme="minorHAnsi"/>
          <w:b/>
          <w:bCs/>
        </w:rPr>
        <w:t>Resumo das a</w:t>
      </w:r>
      <w:r w:rsidR="006F0889" w:rsidRPr="00435367">
        <w:rPr>
          <w:rFonts w:eastAsia="Calibri" w:cstheme="minorHAnsi"/>
          <w:b/>
          <w:bCs/>
        </w:rPr>
        <w:t>legaç</w:t>
      </w:r>
      <w:r w:rsidR="00854E40" w:rsidRPr="00435367">
        <w:rPr>
          <w:rFonts w:eastAsia="Calibri" w:cstheme="minorHAnsi"/>
          <w:b/>
          <w:bCs/>
        </w:rPr>
        <w:t>ões</w:t>
      </w:r>
      <w:r w:rsidR="00814B16" w:rsidRPr="00435367">
        <w:rPr>
          <w:rFonts w:eastAsia="Calibri" w:cstheme="minorHAnsi"/>
          <w:b/>
          <w:bCs/>
        </w:rPr>
        <w:t>:</w:t>
      </w:r>
      <w:r w:rsidR="00814B16" w:rsidRPr="00435367">
        <w:rPr>
          <w:rFonts w:eastAsia="Calibri" w:cstheme="minorHAnsi"/>
        </w:rPr>
        <w:t xml:space="preserve"> </w:t>
      </w:r>
    </w:p>
    <w:p w:rsidR="00317B14" w:rsidRPr="00435367" w:rsidRDefault="00854E40" w:rsidP="00EB4645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  <w:shd w:val="clear" w:color="auto" w:fill="FFFFFF"/>
        </w:rPr>
        <w:t xml:space="preserve">1 - o item 19.1.1 do edital, exige a apresentação do </w:t>
      </w:r>
      <w:r w:rsidRPr="00435367">
        <w:rPr>
          <w:rFonts w:cstheme="minorHAnsi"/>
          <w:b/>
          <w:color w:val="000000"/>
          <w:shd w:val="clear" w:color="auto" w:fill="FFFFFF"/>
        </w:rPr>
        <w:t>contrato social da empresa</w:t>
      </w:r>
      <w:r w:rsidRPr="00435367">
        <w:rPr>
          <w:rFonts w:cstheme="minorHAnsi"/>
          <w:color w:val="000000"/>
          <w:shd w:val="clear" w:color="auto" w:fill="FFFFFF"/>
        </w:rPr>
        <w:t xml:space="preserve"> e a não o anexou em sua documentação de habilitação.</w:t>
      </w:r>
      <w:r w:rsidR="00171A10" w:rsidRPr="00435367">
        <w:rPr>
          <w:rFonts w:cstheme="minorHAnsi"/>
          <w:color w:val="000000"/>
          <w:shd w:val="clear" w:color="auto" w:fill="FFFFFF"/>
        </w:rPr>
        <w:t>.. e esta não apresentou.</w:t>
      </w:r>
      <w:r w:rsidR="00317B14" w:rsidRPr="00435367">
        <w:rPr>
          <w:rFonts w:cstheme="minorHAnsi"/>
          <w:color w:val="000000"/>
          <w:shd w:val="clear" w:color="auto" w:fill="FFFFFF"/>
        </w:rPr>
        <w:t xml:space="preserve"> Alega </w:t>
      </w:r>
      <w:r w:rsidR="00103D40" w:rsidRPr="00435367">
        <w:rPr>
          <w:rFonts w:cstheme="minorHAnsi"/>
          <w:color w:val="000000"/>
          <w:shd w:val="clear" w:color="auto" w:fill="FFFFFF"/>
        </w:rPr>
        <w:t xml:space="preserve">ainda </w:t>
      </w:r>
      <w:r w:rsidR="00317B14" w:rsidRPr="00435367">
        <w:rPr>
          <w:rFonts w:cstheme="minorHAnsi"/>
          <w:color w:val="000000"/>
          <w:shd w:val="clear" w:color="auto" w:fill="FFFFFF"/>
        </w:rPr>
        <w:t xml:space="preserve">que:”... </w:t>
      </w:r>
      <w:r w:rsidR="00317B14" w:rsidRPr="00435367">
        <w:rPr>
          <w:rFonts w:cstheme="minorHAnsi"/>
          <w:color w:val="000000"/>
          <w:shd w:val="clear" w:color="auto" w:fill="FFFFFF"/>
        </w:rPr>
        <w:t>em pesquisa realizada, não conseguimos identificar no endereço destacado em seus documentos, qualquer vestígio da empresa, para o que solicitamos também um diligenciamento, visto que mesmo que ela efetivamente exista no referido endereço, a mesmo não teria ali ( RUA SANTA FERNANDA 1500 LOJA B ), estrutura operacional capaz de atender ao produto solicitado, uma vez que trata-se de loja comercial.</w:t>
      </w:r>
      <w:r w:rsidR="00C10C37" w:rsidRPr="00435367">
        <w:rPr>
          <w:rFonts w:cstheme="minorHAnsi"/>
          <w:color w:val="000000"/>
          <w:shd w:val="clear" w:color="auto" w:fill="FFFFFF"/>
        </w:rPr>
        <w:t>”</w:t>
      </w:r>
    </w:p>
    <w:p w:rsidR="00854E40" w:rsidRPr="00435367" w:rsidRDefault="00854E40" w:rsidP="00854E40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</w:p>
    <w:p w:rsidR="00C10C37" w:rsidRPr="00435367" w:rsidRDefault="00854E40" w:rsidP="00091AED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  <w:shd w:val="clear" w:color="auto" w:fill="FFFFFF"/>
        </w:rPr>
        <w:t xml:space="preserve">2- Notadamente podemos observar que o </w:t>
      </w:r>
      <w:r w:rsidRPr="00435367">
        <w:rPr>
          <w:rFonts w:cstheme="minorHAnsi"/>
          <w:b/>
          <w:color w:val="000000"/>
          <w:shd w:val="clear" w:color="auto" w:fill="FFFFFF"/>
        </w:rPr>
        <w:t>preço oferecido é inteiramente inexequível</w:t>
      </w:r>
      <w:r w:rsidRPr="00435367">
        <w:rPr>
          <w:rFonts w:cstheme="minorHAnsi"/>
          <w:color w:val="000000"/>
          <w:shd w:val="clear" w:color="auto" w:fill="FFFFFF"/>
        </w:rPr>
        <w:t>, visto que somente a matéria prima a ser aplicada no produto, já é maior que o preço ofertado, ainda mais considerando ser um registro de preços.</w:t>
      </w:r>
      <w:r w:rsidR="00C10C37" w:rsidRPr="00435367">
        <w:rPr>
          <w:rFonts w:cstheme="minorHAnsi"/>
          <w:color w:val="000000"/>
          <w:shd w:val="clear" w:color="auto" w:fill="FFFFFF"/>
        </w:rPr>
        <w:t xml:space="preserve"> </w:t>
      </w:r>
      <w:r w:rsidR="00C10C37" w:rsidRPr="00435367">
        <w:rPr>
          <w:rFonts w:cstheme="minorHAnsi"/>
          <w:color w:val="000000"/>
          <w:shd w:val="clear" w:color="auto" w:fill="FFFFFF"/>
        </w:rPr>
        <w:t>Alega ainda que:”...</w:t>
      </w:r>
      <w:r w:rsidR="00C10C37" w:rsidRPr="00435367">
        <w:rPr>
          <w:rFonts w:cstheme="minorHAnsi"/>
          <w:color w:val="000000"/>
          <w:shd w:val="clear" w:color="auto" w:fill="FFFFFF"/>
        </w:rPr>
        <w:t xml:space="preserve"> </w:t>
      </w:r>
      <w:r w:rsidR="001D20CA" w:rsidRPr="00435367">
        <w:rPr>
          <w:rFonts w:cstheme="minorHAnsi"/>
          <w:color w:val="000000"/>
          <w:shd w:val="clear" w:color="auto" w:fill="FFFFFF"/>
        </w:rPr>
        <w:t xml:space="preserve">Para dar luz a capacidade da </w:t>
      </w:r>
      <w:r w:rsidR="00C10C37" w:rsidRPr="00435367">
        <w:rPr>
          <w:rFonts w:cstheme="minorHAnsi"/>
          <w:color w:val="000000"/>
          <w:shd w:val="clear" w:color="auto" w:fill="FFFFFF"/>
        </w:rPr>
        <w:t>empresa atender ao princípio da exequibilidade, solicitamos que esta comissão exija planilha de custos para o produto, assim como orçamento de fornecedor da matéria prima principal, pois isto certamente garantirá a esta comissão avaliar o inteiro teor de nossa argumentação.</w:t>
      </w:r>
      <w:r w:rsidR="00091AED" w:rsidRPr="00435367">
        <w:rPr>
          <w:rFonts w:cstheme="minorHAnsi"/>
          <w:color w:val="000000"/>
          <w:shd w:val="clear" w:color="auto" w:fill="FFFFFF"/>
        </w:rPr>
        <w:t>”</w:t>
      </w:r>
    </w:p>
    <w:p w:rsidR="00854E40" w:rsidRPr="00435367" w:rsidRDefault="00854E40" w:rsidP="00854E40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</w:p>
    <w:p w:rsidR="00854E40" w:rsidRPr="00435367" w:rsidRDefault="00854E40" w:rsidP="00854E40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  <w:shd w:val="clear" w:color="auto" w:fill="FFFFFF"/>
        </w:rPr>
        <w:t xml:space="preserve">3- Como podemos observar em seu escopo, através do único documento passível de avaliação em sua habilitação, o CNPJ, constamos que a </w:t>
      </w:r>
      <w:r w:rsidRPr="00435367">
        <w:rPr>
          <w:rFonts w:cstheme="minorHAnsi"/>
          <w:b/>
          <w:color w:val="000000"/>
          <w:shd w:val="clear" w:color="auto" w:fill="FFFFFF"/>
        </w:rPr>
        <w:t>empresa não possui nenhuma relatividade com o objeto licitado</w:t>
      </w:r>
      <w:r w:rsidRPr="00435367">
        <w:rPr>
          <w:rFonts w:cstheme="minorHAnsi"/>
          <w:color w:val="000000"/>
          <w:shd w:val="clear" w:color="auto" w:fill="FFFFFF"/>
        </w:rPr>
        <w:t>, e em pesquisa sobre a empresa, não encontramos qualquer orientação sobre a estrutura ou capacidade da empresa em produzir tais produtos, exceto fotos em seu próprio site.</w:t>
      </w:r>
    </w:p>
    <w:p w:rsidR="00091AED" w:rsidRPr="00435367" w:rsidRDefault="00091AED" w:rsidP="00854E40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</w:p>
    <w:p w:rsidR="00854E40" w:rsidRPr="00435367" w:rsidRDefault="00854E40" w:rsidP="00854E40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  <w:shd w:val="clear" w:color="auto" w:fill="FFFFFF"/>
        </w:rPr>
        <w:t>4 – N</w:t>
      </w:r>
      <w:r w:rsidR="00F46E87" w:rsidRPr="00435367">
        <w:rPr>
          <w:rFonts w:cstheme="minorHAnsi"/>
          <w:color w:val="000000"/>
          <w:shd w:val="clear" w:color="auto" w:fill="FFFFFF"/>
        </w:rPr>
        <w:t>o</w:t>
      </w:r>
      <w:r w:rsidRPr="00435367">
        <w:rPr>
          <w:rFonts w:cstheme="minorHAnsi"/>
          <w:color w:val="000000"/>
          <w:shd w:val="clear" w:color="auto" w:fill="FFFFFF"/>
        </w:rPr>
        <w:t xml:space="preserve"> </w:t>
      </w:r>
      <w:r w:rsidRPr="00435367">
        <w:rPr>
          <w:rFonts w:cstheme="minorHAnsi"/>
          <w:b/>
          <w:color w:val="000000"/>
          <w:shd w:val="clear" w:color="auto" w:fill="FFFFFF"/>
        </w:rPr>
        <w:t>atestado apresentado, não se pode avaliar capacidade técnica</w:t>
      </w:r>
      <w:r w:rsidRPr="00435367">
        <w:rPr>
          <w:rFonts w:cstheme="minorHAnsi"/>
          <w:color w:val="000000"/>
          <w:shd w:val="clear" w:color="auto" w:fill="FFFFFF"/>
        </w:rPr>
        <w:t>, uma vez que ele é muito sucinto e não traz informações necessárias para avaliação de capacidade, carecendo o mesmo de diligenciamento em razão do volume e característica do produto licitado.</w:t>
      </w:r>
    </w:p>
    <w:p w:rsidR="007E11BD" w:rsidRPr="00435367" w:rsidRDefault="007E11BD" w:rsidP="00275E7B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305D9B" w:rsidRPr="00435367" w:rsidRDefault="00305D9B" w:rsidP="00D810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b/>
        </w:rPr>
      </w:pPr>
      <w:r w:rsidRPr="00435367">
        <w:rPr>
          <w:rFonts w:eastAsia="Calibri" w:cstheme="minorHAnsi"/>
          <w:b/>
        </w:rPr>
        <w:t>DAS CONTRARRAZÕES DO RECURSO</w:t>
      </w:r>
    </w:p>
    <w:p w:rsidR="00D74918" w:rsidRPr="00435367" w:rsidRDefault="00B62CC5" w:rsidP="00A86BBA">
      <w:pPr>
        <w:spacing w:after="0" w:line="240" w:lineRule="auto"/>
        <w:ind w:left="284"/>
        <w:jc w:val="both"/>
        <w:rPr>
          <w:rFonts w:eastAsia="Calibri" w:cstheme="minorHAnsi"/>
        </w:rPr>
      </w:pPr>
      <w:r w:rsidRPr="00435367">
        <w:rPr>
          <w:rFonts w:eastAsia="Calibri" w:cstheme="minorHAnsi"/>
        </w:rPr>
        <w:t xml:space="preserve">A empresa </w:t>
      </w:r>
      <w:r w:rsidR="00CC6FBB" w:rsidRPr="00435367">
        <w:rPr>
          <w:rFonts w:cstheme="minorHAnsi"/>
          <w:b/>
          <w:bCs/>
        </w:rPr>
        <w:t>SIDNEY GOUVEIA DOS SANTOS-ME</w:t>
      </w:r>
      <w:r w:rsidRPr="00435367">
        <w:rPr>
          <w:rFonts w:eastAsia="Calibri" w:cstheme="minorHAnsi"/>
        </w:rPr>
        <w:t>, de forma tempestiva, apresentou as contrarrazões ao recurso, cujo teor sintético está apresentado abaixo:</w:t>
      </w:r>
    </w:p>
    <w:p w:rsidR="00814B16" w:rsidRPr="00435367" w:rsidRDefault="00814B16" w:rsidP="00A86BBA">
      <w:pPr>
        <w:spacing w:after="0" w:line="240" w:lineRule="auto"/>
        <w:ind w:left="284"/>
        <w:contextualSpacing/>
        <w:jc w:val="both"/>
        <w:rPr>
          <w:rFonts w:eastAsia="Calibri" w:cstheme="minorHAnsi"/>
        </w:rPr>
      </w:pPr>
    </w:p>
    <w:p w:rsidR="0023113C" w:rsidRPr="00435367" w:rsidRDefault="0023113C" w:rsidP="0023113C">
      <w:pPr>
        <w:spacing w:after="0" w:line="240" w:lineRule="auto"/>
        <w:ind w:left="284"/>
        <w:jc w:val="both"/>
        <w:rPr>
          <w:rFonts w:eastAsia="Calibri" w:cstheme="minorHAnsi"/>
        </w:rPr>
      </w:pPr>
      <w:r w:rsidRPr="00435367">
        <w:rPr>
          <w:rFonts w:eastAsia="Calibri" w:cstheme="minorHAnsi"/>
        </w:rPr>
        <w:t>1ª ALEGAÇÃO</w:t>
      </w:r>
    </w:p>
    <w:p w:rsidR="0023113C" w:rsidRPr="00435367" w:rsidRDefault="0023113C" w:rsidP="0023113C">
      <w:pPr>
        <w:spacing w:after="0" w:line="240" w:lineRule="auto"/>
        <w:ind w:left="284"/>
        <w:jc w:val="both"/>
        <w:rPr>
          <w:rFonts w:eastAsia="Calibri" w:cstheme="minorHAnsi"/>
        </w:rPr>
      </w:pPr>
      <w:r w:rsidRPr="00435367">
        <w:rPr>
          <w:rFonts w:eastAsia="Calibri" w:cstheme="minorHAnsi"/>
        </w:rPr>
        <w:t>O item 19.1.1 exige que a empresa apresenta em sua habilitação, o seu contrato social e esta não apresentou.</w:t>
      </w:r>
    </w:p>
    <w:p w:rsidR="002725FA" w:rsidRDefault="002725FA" w:rsidP="004A50A1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23113C" w:rsidRPr="00435367" w:rsidRDefault="0023113C" w:rsidP="004A50A1">
      <w:pPr>
        <w:spacing w:after="0" w:line="240" w:lineRule="auto"/>
        <w:ind w:left="284"/>
        <w:jc w:val="both"/>
        <w:rPr>
          <w:rFonts w:eastAsia="Calibri" w:cstheme="minorHAnsi"/>
        </w:rPr>
      </w:pPr>
      <w:r w:rsidRPr="00435367">
        <w:rPr>
          <w:rFonts w:eastAsia="Calibri" w:cstheme="minorHAnsi"/>
        </w:rPr>
        <w:t>O questionamento supra, será ultrapassado com a utilização do próprio instrumento convocatório, que faculta ao fornecedor entre outros documentos apresentar o ato constitutivo da empresa, por meio do SICAF</w:t>
      </w:r>
      <w:r w:rsidR="004A50A1" w:rsidRPr="00435367">
        <w:rPr>
          <w:rFonts w:eastAsia="Calibri" w:cstheme="minorHAnsi"/>
        </w:rPr>
        <w:t>...</w:t>
      </w:r>
      <w:r w:rsidRPr="00435367">
        <w:rPr>
          <w:rFonts w:eastAsia="Calibri" w:cstheme="minorHAnsi"/>
        </w:rPr>
        <w:t xml:space="preserve">Portanto encontra-se a empresa Sidney Gouveia Vespa da Silva, regularmente </w:t>
      </w:r>
      <w:r w:rsidRPr="00435367">
        <w:rPr>
          <w:rFonts w:eastAsia="Calibri" w:cstheme="minorHAnsi"/>
        </w:rPr>
        <w:lastRenderedPageBreak/>
        <w:t>habilitada no que se refere a apresentação do requerimento de empresário na seção “habilitação jurídica” do Sistema de Cadastramento de fornecedores.</w:t>
      </w:r>
    </w:p>
    <w:p w:rsidR="0023113C" w:rsidRPr="00435367" w:rsidRDefault="0023113C" w:rsidP="0023113C">
      <w:pPr>
        <w:spacing w:after="0" w:line="240" w:lineRule="auto"/>
        <w:ind w:left="284"/>
        <w:jc w:val="both"/>
        <w:rPr>
          <w:rFonts w:eastAsia="Calibri" w:cstheme="minorHAnsi"/>
        </w:rPr>
      </w:pPr>
      <w:r w:rsidRPr="00435367">
        <w:rPr>
          <w:rFonts w:eastAsia="Calibri" w:cstheme="minorHAnsi"/>
        </w:rPr>
        <w:br/>
        <w:t>Quanto a alegação de que a empresa “supostamente” não funciona no local constante no requerimento de empresário ou não possui estrutura física suficiente para atendimento ao item nº 6 deste pregão de nº 90/2019, não deve prosperar, visto que a empresa Sidney Gouveia Vespa da Silva – ME, atua no mercado desde 2011, tendo inclusive identificação na fachada, e inclusive atestado pela recursante, quando afirma existir fotos da empresa em consulta realizada via internet em site de buscas.</w:t>
      </w:r>
    </w:p>
    <w:p w:rsidR="00474AF3" w:rsidRPr="00435367" w:rsidRDefault="0023113C" w:rsidP="00B77F34">
      <w:pPr>
        <w:spacing w:after="0" w:line="240" w:lineRule="auto"/>
        <w:ind w:left="284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eastAsia="Calibri" w:cstheme="minorHAnsi"/>
        </w:rPr>
        <w:br/>
      </w:r>
      <w:r w:rsidR="00474AF3" w:rsidRPr="00435367">
        <w:rPr>
          <w:rFonts w:cstheme="minorHAnsi"/>
          <w:color w:val="000000"/>
          <w:shd w:val="clear" w:color="auto" w:fill="FFFFFF"/>
        </w:rPr>
        <w:t>2ª ALEGAÇÃO</w:t>
      </w:r>
    </w:p>
    <w:p w:rsidR="00474AF3" w:rsidRPr="00435367" w:rsidRDefault="00474AF3" w:rsidP="00B77F34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  <w:shd w:val="clear" w:color="auto" w:fill="FFFFFF"/>
        </w:rPr>
        <w:t>DA INEXEQUIBILIDADE</w:t>
      </w:r>
    </w:p>
    <w:p w:rsidR="00474AF3" w:rsidRPr="00435367" w:rsidRDefault="00474AF3" w:rsidP="00B77F34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  <w:shd w:val="clear" w:color="auto" w:fill="FFFFFF"/>
        </w:rPr>
        <w:t>Conforme proposta oferecida pela empresa, podemos ressaltar que os preços oferecidos são inteiramente inexequíveis.</w:t>
      </w:r>
    </w:p>
    <w:p w:rsidR="00474AF3" w:rsidRPr="00435367" w:rsidRDefault="00474AF3" w:rsidP="00B77F34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</w:rPr>
        <w:br/>
      </w:r>
      <w:r w:rsidRPr="00435367">
        <w:rPr>
          <w:rFonts w:cstheme="minorHAnsi"/>
          <w:color w:val="000000"/>
          <w:shd w:val="clear" w:color="auto" w:fill="FFFFFF"/>
        </w:rPr>
        <w:t>As alegações da recursante são em primeira análise carentes de fundamentação legal, haja visto que não há na legislação vigente de licitações, dispositivo que define com precisão, quando o lance ofertado se considera inexequível, há sim a confrontação das planilhas de valor estimado com preços usualmente praticados no mercado.</w:t>
      </w:r>
    </w:p>
    <w:p w:rsidR="00474AF3" w:rsidRPr="00435367" w:rsidRDefault="00474AF3" w:rsidP="00B77F34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</w:rPr>
        <w:br/>
      </w:r>
      <w:r w:rsidRPr="00435367">
        <w:rPr>
          <w:rFonts w:cstheme="minorHAnsi"/>
          <w:color w:val="000000"/>
          <w:shd w:val="clear" w:color="auto" w:fill="FFFFFF"/>
        </w:rPr>
        <w:t>Ainda sobre a inexequibilidade, há na prática a possibilidade de se efetuarem diligências no sentido de verificar a exequibilidade ou não do preço ofertado, isto quando o condutor do certame (pregoeiro), tem elementos de convicção de que há indícios de inexequibilidade.</w:t>
      </w:r>
    </w:p>
    <w:p w:rsidR="00474AF3" w:rsidRPr="00435367" w:rsidRDefault="00474AF3" w:rsidP="00B77F34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  <w:shd w:val="clear" w:color="auto" w:fill="FFFFFF"/>
        </w:rPr>
        <w:t>Vale ressaltar inclusive que a Sidney Gouveia Vespa da Silva, possui estrutura física e maquinário apropriado para a execução do objeto em tela, item 06 deste pregão, e desta forma apresentar propostas com preços competitivos.</w:t>
      </w:r>
    </w:p>
    <w:p w:rsidR="00474AF3" w:rsidRPr="00435367" w:rsidRDefault="00474AF3" w:rsidP="00B77F34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  <w:shd w:val="clear" w:color="auto" w:fill="FFFFFF"/>
        </w:rPr>
        <w:t>Sob a solicitação da recursante para abrir-se planilha de custos do item, o instrumento convocatório em nenhuma de suas cláusulas prevê tal exigência.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435367">
        <w:rPr>
          <w:rFonts w:cstheme="minorHAnsi"/>
          <w:color w:val="000000"/>
        </w:rPr>
        <w:br/>
      </w:r>
      <w:r w:rsidRPr="00A145F6">
        <w:rPr>
          <w:rFonts w:cstheme="minorHAnsi"/>
          <w:color w:val="000000"/>
          <w:shd w:val="clear" w:color="auto" w:fill="FFFFFF"/>
        </w:rPr>
        <w:t>3ª ALEGAÇÃO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DO ESCOPO</w:t>
      </w:r>
    </w:p>
    <w:p w:rsidR="00474AF3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Em análise realizada através do único documento em sua habilitação que nos permitisse uma análise técnica da empresa, o CNPJ, observamos que nenhuma atividade comercial nele elencado tem qualquer relatividade com o produto licitado, configurando claramente sua falta de capacitação técnica e expertise para o cumprimento do contrato.</w:t>
      </w:r>
    </w:p>
    <w:p w:rsidR="001414E6" w:rsidRPr="00A145F6" w:rsidRDefault="001414E6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Em resposta ao supra alegado de que entre as atividades desenvolvidas pela empresa Sidney Gouveia Vespa da Silva não se relacionam com o objeto licitado, a saber: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PLACA DE IDENTIFICAÇÃO DE OBRA. Estrutura em ferro galvanizado (sustentação), com impressão colorida em lona vinílica branca; Fixação: parafusado e/ou sustentado por estrutura de ferro galvanizado; Cores: conforme layout fornecido pela ARSER; Formato das letras: o texto da placa e a fonte deverão seguir o layout fornecido pela ARSER; Tamanho das letras: variável, de acordo com layout fornecido pela ARSER; Tamanho da placa: altura de 2 (dois) metros e comprimento de 3 (três) metros.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A alegação não deve prosperar, pois dentre as diversas atividades elencadas no cartão CNPJ, há atividade conforme com o objeto, como se segue: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CÓDIGO E DESCRIÇÃO DA ATIVIDADE ECONÔMICA PRINCIPAL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18.13-0-99 - Impressão de material para outros usos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CÓDIGO E DESCRIÇÃO DAS ATIVIDADES ECONÔMICAS SECUNDÁRIAS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18.13-0-01 - Impressão de material para uso publicitário</w:t>
      </w:r>
    </w:p>
    <w:p w:rsidR="00474AF3" w:rsidRPr="00A145F6" w:rsidRDefault="00474AF3" w:rsidP="00A145F6">
      <w:pPr>
        <w:spacing w:after="0" w:line="240" w:lineRule="auto"/>
        <w:ind w:left="284"/>
        <w:jc w:val="both"/>
        <w:rPr>
          <w:rFonts w:cstheme="minorHAnsi"/>
          <w:color w:val="000000"/>
          <w:shd w:val="clear" w:color="auto" w:fill="FFFFFF"/>
        </w:rPr>
      </w:pPr>
      <w:r w:rsidRPr="00A145F6">
        <w:rPr>
          <w:rFonts w:cstheme="minorHAnsi"/>
          <w:color w:val="000000"/>
          <w:shd w:val="clear" w:color="auto" w:fill="FFFFFF"/>
        </w:rPr>
        <w:t>25.42-0-00 - Fabricação de artigos de serralheria, exceto esquadrias</w:t>
      </w:r>
    </w:p>
    <w:p w:rsidR="00474AF3" w:rsidRDefault="00474AF3" w:rsidP="00A145F6">
      <w:pPr>
        <w:spacing w:after="0" w:line="240" w:lineRule="auto"/>
        <w:ind w:left="284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145F6">
        <w:rPr>
          <w:rFonts w:cstheme="minorHAnsi"/>
          <w:color w:val="000000"/>
        </w:rPr>
        <w:br/>
      </w:r>
      <w:r w:rsidRPr="00A145F6">
        <w:rPr>
          <w:rFonts w:cstheme="minorHAnsi"/>
          <w:color w:val="000000"/>
          <w:shd w:val="clear" w:color="auto" w:fill="FFFFFF"/>
        </w:rPr>
        <w:t xml:space="preserve">Quanto a alegação de que o atestado de capacidade técnica fornecido pela empresa Sidney Gouveia </w:t>
      </w:r>
      <w:r w:rsidRPr="00A145F6">
        <w:rPr>
          <w:rFonts w:cstheme="minorHAnsi"/>
          <w:color w:val="000000"/>
          <w:shd w:val="clear" w:color="auto" w:fill="FFFFFF"/>
        </w:rPr>
        <w:lastRenderedPageBreak/>
        <w:t>Vespa da Silva não atende os requisitos exigidos para a futura contratação deste registro de preços, não deve prosperar, já que o documento fornecido cumpre estritamente as exigências editalícias, constando inclusive o objeto “placa de identificação de obra”, fornecido em contratação anterior de ente público.</w:t>
      </w:r>
    </w:p>
    <w:p w:rsidR="00B65FFB" w:rsidRPr="00E37B6B" w:rsidRDefault="00B65FFB" w:rsidP="001414E6">
      <w:pPr>
        <w:spacing w:after="0" w:line="240" w:lineRule="auto"/>
        <w:jc w:val="both"/>
        <w:rPr>
          <w:rFonts w:eastAsia="Calibri" w:cstheme="minorHAnsi"/>
        </w:rPr>
      </w:pPr>
    </w:p>
    <w:p w:rsidR="007E11BD" w:rsidRPr="00E37B6B" w:rsidRDefault="007E11BD" w:rsidP="00D810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b/>
        </w:rPr>
      </w:pPr>
      <w:r w:rsidRPr="00E37B6B">
        <w:rPr>
          <w:rFonts w:eastAsia="Calibri" w:cstheme="minorHAnsi"/>
          <w:b/>
        </w:rPr>
        <w:t>DA ANÁLISE DO RECURSO, CONTRARRAZÕES E POSICIONAMENTO D</w:t>
      </w:r>
      <w:r w:rsidR="00126FCC" w:rsidRPr="00E37B6B">
        <w:rPr>
          <w:rFonts w:eastAsia="Calibri" w:cstheme="minorHAnsi"/>
          <w:b/>
        </w:rPr>
        <w:t>A</w:t>
      </w:r>
      <w:r w:rsidRPr="00E37B6B">
        <w:rPr>
          <w:rFonts w:eastAsia="Calibri" w:cstheme="minorHAnsi"/>
          <w:b/>
        </w:rPr>
        <w:t xml:space="preserve"> PREGOEIR</w:t>
      </w:r>
      <w:r w:rsidR="00126FCC" w:rsidRPr="00E37B6B">
        <w:rPr>
          <w:rFonts w:eastAsia="Calibri" w:cstheme="minorHAnsi"/>
          <w:b/>
        </w:rPr>
        <w:t>A</w:t>
      </w:r>
    </w:p>
    <w:p w:rsidR="00EA350F" w:rsidRDefault="00EA350F" w:rsidP="00537816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EA350F" w:rsidRPr="00EA350F" w:rsidRDefault="00EA350F" w:rsidP="00EA350F">
      <w:pPr>
        <w:spacing w:after="0" w:line="240" w:lineRule="auto"/>
        <w:ind w:left="284"/>
        <w:jc w:val="both"/>
        <w:rPr>
          <w:rFonts w:eastAsia="Calibri" w:cstheme="minorHAnsi"/>
        </w:rPr>
      </w:pPr>
      <w:r w:rsidRPr="00EA350F">
        <w:rPr>
          <w:rFonts w:eastAsia="Calibri" w:cstheme="minorHAnsi"/>
        </w:rPr>
        <w:t>Analisando as razões recursais e contrarrazões apresentadas, a Pregoeira se manifesta nos seguintes termos:</w:t>
      </w:r>
    </w:p>
    <w:p w:rsidR="00EA350F" w:rsidRDefault="00EA350F" w:rsidP="00537816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6D1D39" w:rsidRDefault="007400F1" w:rsidP="00537816">
      <w:pPr>
        <w:spacing w:after="0" w:line="240" w:lineRule="auto"/>
        <w:ind w:left="284"/>
        <w:jc w:val="both"/>
        <w:rPr>
          <w:rFonts w:eastAsia="Calibri" w:cstheme="minorHAnsi"/>
        </w:rPr>
      </w:pPr>
      <w:r>
        <w:rPr>
          <w:rFonts w:eastAsia="Calibri" w:cstheme="minorHAnsi"/>
        </w:rPr>
        <w:t>A</w:t>
      </w:r>
      <w:r w:rsidR="002464D1" w:rsidRPr="002464D1">
        <w:rPr>
          <w:rFonts w:eastAsia="Calibri" w:cstheme="minorHAnsi"/>
        </w:rPr>
        <w:t xml:space="preserve"> licitação ocorreu no dia </w:t>
      </w:r>
      <w:r w:rsidR="006A652E">
        <w:rPr>
          <w:rFonts w:eastAsia="Calibri" w:cstheme="minorHAnsi"/>
        </w:rPr>
        <w:t>16</w:t>
      </w:r>
      <w:r w:rsidR="002464D1" w:rsidRPr="002464D1">
        <w:rPr>
          <w:rFonts w:eastAsia="Calibri" w:cstheme="minorHAnsi"/>
        </w:rPr>
        <w:t>/0</w:t>
      </w:r>
      <w:r w:rsidR="006A652E">
        <w:rPr>
          <w:rFonts w:eastAsia="Calibri" w:cstheme="minorHAnsi"/>
        </w:rPr>
        <w:t>7</w:t>
      </w:r>
      <w:r w:rsidR="002464D1" w:rsidRPr="002464D1">
        <w:rPr>
          <w:rFonts w:eastAsia="Calibri" w:cstheme="minorHAnsi"/>
        </w:rPr>
        <w:t xml:space="preserve">/2019 </w:t>
      </w:r>
      <w:r w:rsidR="006A652E" w:rsidRPr="00CE273E">
        <w:t xml:space="preserve">às </w:t>
      </w:r>
      <w:r w:rsidR="006A652E">
        <w:t>10</w:t>
      </w:r>
      <w:r w:rsidR="006A652E" w:rsidRPr="00CE273E">
        <w:t xml:space="preserve">h </w:t>
      </w:r>
      <w:r w:rsidR="006A652E">
        <w:t xml:space="preserve">no site </w:t>
      </w:r>
      <w:hyperlink r:id="rId7" w:history="1">
        <w:r w:rsidR="006A652E">
          <w:rPr>
            <w:rStyle w:val="Hyperlink"/>
          </w:rPr>
          <w:t>http://www.comprasnet.gov.br/</w:t>
        </w:r>
      </w:hyperlink>
      <w:r w:rsidR="006A652E">
        <w:rPr>
          <w:rStyle w:val="Hyperlink"/>
        </w:rPr>
        <w:t xml:space="preserve">, </w:t>
      </w:r>
      <w:r w:rsidR="002464D1" w:rsidRPr="002464D1">
        <w:rPr>
          <w:rFonts w:eastAsia="Calibri" w:cstheme="minorHAnsi"/>
        </w:rPr>
        <w:t>onde</w:t>
      </w:r>
      <w:r w:rsidR="006A652E">
        <w:rPr>
          <w:rFonts w:eastAsia="Calibri" w:cstheme="minorHAnsi"/>
        </w:rPr>
        <w:t xml:space="preserve">, </w:t>
      </w:r>
      <w:r w:rsidR="002464D1" w:rsidRPr="002464D1">
        <w:rPr>
          <w:rFonts w:eastAsia="Calibri" w:cstheme="minorHAnsi"/>
        </w:rPr>
        <w:t xml:space="preserve">através do Cadastro </w:t>
      </w:r>
      <w:r w:rsidR="00F15AF2">
        <w:rPr>
          <w:rFonts w:eastAsia="Calibri" w:cstheme="minorHAnsi"/>
        </w:rPr>
        <w:t>junto ao</w:t>
      </w:r>
      <w:r w:rsidR="002464D1" w:rsidRPr="002464D1">
        <w:rPr>
          <w:rFonts w:eastAsia="Calibri" w:cstheme="minorHAnsi"/>
        </w:rPr>
        <w:t xml:space="preserve"> SICAF a empresa </w:t>
      </w:r>
      <w:r w:rsidR="00A06A5D">
        <w:rPr>
          <w:rFonts w:eastAsia="Calibri" w:cstheme="minorHAnsi"/>
        </w:rPr>
        <w:t>recorrida</w:t>
      </w:r>
      <w:r w:rsidR="002464D1" w:rsidRPr="002464D1">
        <w:rPr>
          <w:rFonts w:eastAsia="Calibri" w:cstheme="minorHAnsi"/>
        </w:rPr>
        <w:t xml:space="preserve"> encontrava-se regular em sua documentação</w:t>
      </w:r>
      <w:r w:rsidR="006D1D39">
        <w:rPr>
          <w:rFonts w:eastAsia="Calibri" w:cstheme="minorHAnsi"/>
        </w:rPr>
        <w:t xml:space="preserve">, </w:t>
      </w:r>
      <w:r w:rsidR="001A3EF2">
        <w:rPr>
          <w:rFonts w:eastAsia="Calibri" w:cstheme="minorHAnsi"/>
        </w:rPr>
        <w:t xml:space="preserve">consultada </w:t>
      </w:r>
      <w:r w:rsidR="00B01775">
        <w:rPr>
          <w:rFonts w:eastAsia="Calibri" w:cstheme="minorHAnsi"/>
        </w:rPr>
        <w:t xml:space="preserve">também </w:t>
      </w:r>
      <w:r w:rsidR="001A3EF2">
        <w:rPr>
          <w:rFonts w:eastAsia="Calibri" w:cstheme="minorHAnsi"/>
        </w:rPr>
        <w:t>no nível II de cadastramento-</w:t>
      </w:r>
      <w:r w:rsidR="00E86D6D">
        <w:rPr>
          <w:rFonts w:eastAsia="Calibri" w:cstheme="minorHAnsi"/>
        </w:rPr>
        <w:t xml:space="preserve">habilitação jurídica, que </w:t>
      </w:r>
      <w:r w:rsidR="00954303">
        <w:rPr>
          <w:rFonts w:eastAsia="Calibri" w:cstheme="minorHAnsi"/>
        </w:rPr>
        <w:t>inclui o arquivo anexado de contrato social, no caso da recorrida, o requerimento de empresário.</w:t>
      </w:r>
    </w:p>
    <w:p w:rsidR="00033564" w:rsidRDefault="00033564" w:rsidP="00537816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033564" w:rsidRDefault="00033564" w:rsidP="00537816">
      <w:pPr>
        <w:spacing w:after="0" w:line="240" w:lineRule="auto"/>
        <w:ind w:left="284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pt-BR"/>
        </w:rPr>
        <w:drawing>
          <wp:inline distT="0" distB="0" distL="0" distR="0">
            <wp:extent cx="4502843" cy="278943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812" cy="279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564" w:rsidRDefault="00033564" w:rsidP="00537816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6D1D39" w:rsidRDefault="008123FD" w:rsidP="00537816">
      <w:pPr>
        <w:spacing w:after="0" w:line="240" w:lineRule="auto"/>
        <w:ind w:left="284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pt-BR"/>
        </w:rPr>
        <w:drawing>
          <wp:inline distT="0" distB="0" distL="0" distR="0">
            <wp:extent cx="4036486" cy="3319502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9" cy="332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3FD" w:rsidRDefault="008123FD" w:rsidP="00537816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A212B6" w:rsidRDefault="00A212B6" w:rsidP="00537816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9A1332" w:rsidRDefault="009A1332" w:rsidP="009A1332">
      <w:pPr>
        <w:spacing w:after="0" w:line="240" w:lineRule="auto"/>
        <w:ind w:left="284"/>
        <w:jc w:val="both"/>
        <w:rPr>
          <w:rFonts w:eastAsia="Calibri" w:cstheme="minorHAnsi"/>
        </w:rPr>
      </w:pPr>
      <w:r w:rsidRPr="00E37B6B">
        <w:rPr>
          <w:rFonts w:eastAsia="Calibri" w:cstheme="minorHAnsi"/>
        </w:rPr>
        <w:t>Quanto a</w:t>
      </w:r>
      <w:r>
        <w:rPr>
          <w:rFonts w:eastAsia="Calibri" w:cstheme="minorHAnsi"/>
        </w:rPr>
        <w:t xml:space="preserve"> alegação de que </w:t>
      </w:r>
      <w:r w:rsidRPr="009A1332">
        <w:rPr>
          <w:rFonts w:eastAsia="Calibri" w:cstheme="minorHAnsi"/>
        </w:rPr>
        <w:t xml:space="preserve">os preços oferecidos </w:t>
      </w:r>
      <w:r w:rsidR="00F02D4C">
        <w:rPr>
          <w:rFonts w:eastAsia="Calibri" w:cstheme="minorHAnsi"/>
        </w:rPr>
        <w:t xml:space="preserve">pela RECORRIDA </w:t>
      </w:r>
      <w:r w:rsidRPr="009A1332">
        <w:rPr>
          <w:rFonts w:eastAsia="Calibri" w:cstheme="minorHAnsi"/>
        </w:rPr>
        <w:t>são inteiramente inexequíveis.</w:t>
      </w:r>
    </w:p>
    <w:p w:rsidR="00F02D4C" w:rsidRDefault="00F02D4C" w:rsidP="009A1332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F96979" w:rsidRDefault="00F02D4C" w:rsidP="009A1332">
      <w:pPr>
        <w:spacing w:after="0" w:line="240" w:lineRule="auto"/>
        <w:ind w:left="284"/>
        <w:jc w:val="both"/>
        <w:rPr>
          <w:rFonts w:cs="Calibri"/>
        </w:rPr>
      </w:pPr>
      <w:r>
        <w:rPr>
          <w:rFonts w:eastAsia="Calibri" w:cstheme="minorHAnsi"/>
        </w:rPr>
        <w:t xml:space="preserve">Nós </w:t>
      </w:r>
      <w:r w:rsidR="00E52382">
        <w:rPr>
          <w:rFonts w:eastAsia="Calibri" w:cstheme="minorHAnsi"/>
        </w:rPr>
        <w:t xml:space="preserve">não podemos acatar tal alegação apenas com </w:t>
      </w:r>
      <w:r w:rsidR="0061152F">
        <w:rPr>
          <w:rFonts w:eastAsia="Calibri" w:cstheme="minorHAnsi"/>
        </w:rPr>
        <w:t xml:space="preserve">as </w:t>
      </w:r>
      <w:r w:rsidR="00E52382">
        <w:rPr>
          <w:rFonts w:eastAsia="Calibri" w:cstheme="minorHAnsi"/>
        </w:rPr>
        <w:t xml:space="preserve">suposições apontadas, o pregão </w:t>
      </w:r>
      <w:r w:rsidR="0040517F">
        <w:rPr>
          <w:rFonts w:eastAsia="Calibri" w:cstheme="minorHAnsi"/>
        </w:rPr>
        <w:t>realizado é do tipo MENOR PREÇO</w:t>
      </w:r>
      <w:r w:rsidR="00955C9B">
        <w:rPr>
          <w:rFonts w:eastAsia="Calibri" w:cstheme="minorHAnsi"/>
        </w:rPr>
        <w:t>, n</w:t>
      </w:r>
      <w:r w:rsidR="00473E0D">
        <w:rPr>
          <w:rFonts w:eastAsia="Calibri" w:cstheme="minorHAnsi"/>
        </w:rPr>
        <w:t>o c</w:t>
      </w:r>
      <w:r w:rsidR="0040517F">
        <w:rPr>
          <w:rFonts w:eastAsia="Calibri" w:cstheme="minorHAnsi"/>
        </w:rPr>
        <w:t xml:space="preserve">aso </w:t>
      </w:r>
      <w:r w:rsidR="00F96979" w:rsidRPr="007B5040">
        <w:rPr>
          <w:rFonts w:cs="Calibri"/>
        </w:rPr>
        <w:t xml:space="preserve">de inexecução parcial ou total das condições pactuadas, erro ou demora na execução do Contratação, garantida a prévia defesa, ficará a Contratada sujeita às sanções </w:t>
      </w:r>
      <w:r w:rsidR="005D0A57">
        <w:rPr>
          <w:rFonts w:cs="Calibri"/>
        </w:rPr>
        <w:t>prevista no ato convocatório</w:t>
      </w:r>
      <w:r w:rsidR="00F96979" w:rsidRPr="007B5040">
        <w:rPr>
          <w:rFonts w:cs="Calibri"/>
        </w:rPr>
        <w:t>, sem prejuízo de outras previstas na legislação vigente</w:t>
      </w:r>
      <w:r w:rsidR="005D0A57">
        <w:rPr>
          <w:rFonts w:cs="Calibri"/>
        </w:rPr>
        <w:t>.</w:t>
      </w:r>
    </w:p>
    <w:p w:rsidR="005D0A57" w:rsidRPr="0066505D" w:rsidRDefault="005D0A57" w:rsidP="009A1332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207E11" w:rsidRPr="0066505D" w:rsidRDefault="00EC3B25" w:rsidP="005F5CF3">
      <w:pPr>
        <w:spacing w:after="0" w:line="240" w:lineRule="auto"/>
        <w:ind w:left="284"/>
        <w:jc w:val="both"/>
        <w:rPr>
          <w:rFonts w:eastAsia="Calibri" w:cstheme="minorHAnsi"/>
        </w:rPr>
      </w:pPr>
      <w:r w:rsidRPr="00E37B6B">
        <w:rPr>
          <w:rFonts w:eastAsia="Calibri" w:cstheme="minorHAnsi"/>
        </w:rPr>
        <w:t>Quanto a</w:t>
      </w:r>
      <w:r w:rsidR="00F56F52">
        <w:rPr>
          <w:rFonts w:eastAsia="Calibri" w:cstheme="minorHAnsi"/>
        </w:rPr>
        <w:t xml:space="preserve"> última alegação </w:t>
      </w:r>
      <w:r w:rsidR="00B95DCE" w:rsidRPr="00E37B6B">
        <w:rPr>
          <w:rFonts w:eastAsia="Calibri" w:cstheme="minorHAnsi"/>
        </w:rPr>
        <w:t>de que a empresa</w:t>
      </w:r>
      <w:r w:rsidR="003521CB" w:rsidRPr="00E37B6B">
        <w:rPr>
          <w:rFonts w:eastAsia="Calibri" w:cstheme="minorHAnsi"/>
        </w:rPr>
        <w:t xml:space="preserve"> RECORRIDA </w:t>
      </w:r>
      <w:r w:rsidR="00207E11" w:rsidRPr="0066505D">
        <w:rPr>
          <w:rFonts w:eastAsia="Calibri" w:cstheme="minorHAnsi"/>
        </w:rPr>
        <w:t>não possui nenhuma relatividade com o objeto licitado</w:t>
      </w:r>
      <w:r w:rsidR="00207E11" w:rsidRPr="0066505D">
        <w:rPr>
          <w:rFonts w:eastAsia="Calibri" w:cstheme="minorHAnsi"/>
        </w:rPr>
        <w:t xml:space="preserve"> e que o </w:t>
      </w:r>
      <w:r w:rsidR="00207E11" w:rsidRPr="0066505D">
        <w:rPr>
          <w:rFonts w:eastAsia="Calibri" w:cstheme="minorHAnsi"/>
        </w:rPr>
        <w:t xml:space="preserve">atestado </w:t>
      </w:r>
      <w:r w:rsidR="00207E11" w:rsidRPr="0066505D">
        <w:rPr>
          <w:rFonts w:eastAsia="Calibri" w:cstheme="minorHAnsi"/>
        </w:rPr>
        <w:t xml:space="preserve">de capacidade técnica </w:t>
      </w:r>
      <w:r w:rsidR="00207E11" w:rsidRPr="0066505D">
        <w:rPr>
          <w:rFonts w:eastAsia="Calibri" w:cstheme="minorHAnsi"/>
        </w:rPr>
        <w:t>apresentado, não p</w:t>
      </w:r>
      <w:r w:rsidR="007A50AE" w:rsidRPr="0066505D">
        <w:rPr>
          <w:rFonts w:eastAsia="Calibri" w:cstheme="minorHAnsi"/>
        </w:rPr>
        <w:t xml:space="preserve">ermite </w:t>
      </w:r>
      <w:r w:rsidR="00207E11" w:rsidRPr="0066505D">
        <w:rPr>
          <w:rFonts w:eastAsia="Calibri" w:cstheme="minorHAnsi"/>
        </w:rPr>
        <w:t>avaliar capacidade técnica</w:t>
      </w:r>
      <w:r w:rsidR="007A50AE" w:rsidRPr="0066505D">
        <w:rPr>
          <w:rFonts w:eastAsia="Calibri" w:cstheme="minorHAnsi"/>
        </w:rPr>
        <w:t xml:space="preserve"> da mesma, pois </w:t>
      </w:r>
      <w:r w:rsidR="007A50AE" w:rsidRPr="0066505D">
        <w:rPr>
          <w:rFonts w:eastAsia="Calibri" w:cstheme="minorHAnsi"/>
        </w:rPr>
        <w:t>é muito sucinto e não traz informações necessárias para avaliação de capacidade, carecendo o mesmo de diligenciamento em razão do volume e característica do produto licitado.</w:t>
      </w:r>
    </w:p>
    <w:p w:rsidR="0066505D" w:rsidRPr="0066505D" w:rsidRDefault="0066505D" w:rsidP="005F5CF3">
      <w:pPr>
        <w:spacing w:after="0" w:line="240" w:lineRule="auto"/>
        <w:ind w:left="284"/>
        <w:jc w:val="both"/>
        <w:rPr>
          <w:rFonts w:eastAsia="Calibri" w:cstheme="minorHAnsi"/>
        </w:rPr>
      </w:pPr>
    </w:p>
    <w:p w:rsidR="00EC3B25" w:rsidRPr="00E37B6B" w:rsidRDefault="00C15868" w:rsidP="00DF361F">
      <w:pPr>
        <w:spacing w:after="0" w:line="240" w:lineRule="auto"/>
        <w:ind w:left="284"/>
        <w:jc w:val="both"/>
        <w:rPr>
          <w:rFonts w:eastAsia="Verdana" w:cstheme="minorHAnsi"/>
          <w:w w:val="105"/>
          <w:lang w:val="pt-PT" w:eastAsia="pt-PT" w:bidi="pt-PT"/>
        </w:rPr>
      </w:pPr>
      <w:r w:rsidRPr="00E37B6B">
        <w:rPr>
          <w:rFonts w:eastAsia="Times New Roman" w:cstheme="minorHAnsi"/>
          <w:color w:val="000000"/>
          <w:lang w:eastAsia="pt-BR"/>
        </w:rPr>
        <w:t xml:space="preserve">Bem, em nossa análise, </w:t>
      </w:r>
      <w:r w:rsidR="000842A1" w:rsidRPr="00E37B6B">
        <w:rPr>
          <w:rFonts w:eastAsia="Times New Roman" w:cstheme="minorHAnsi"/>
          <w:color w:val="000000"/>
          <w:lang w:eastAsia="pt-BR"/>
        </w:rPr>
        <w:t xml:space="preserve">constatamos </w:t>
      </w:r>
      <w:r w:rsidRPr="00E37B6B">
        <w:rPr>
          <w:rFonts w:eastAsia="Times New Roman" w:cstheme="minorHAnsi"/>
          <w:color w:val="000000"/>
          <w:lang w:eastAsia="pt-BR"/>
        </w:rPr>
        <w:t xml:space="preserve">que a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recorrida apresentou atestado de capacidade técnica fornecid</w:t>
      </w:r>
      <w:r w:rsidR="005C5FD7" w:rsidRPr="00E37B6B">
        <w:rPr>
          <w:rFonts w:eastAsia="Verdana" w:cstheme="minorHAnsi"/>
          <w:w w:val="105"/>
          <w:lang w:val="pt-PT" w:eastAsia="pt-PT" w:bidi="pt-PT"/>
        </w:rPr>
        <w:t>o</w:t>
      </w:r>
      <w:r w:rsidR="00912452">
        <w:rPr>
          <w:rFonts w:eastAsia="Verdana" w:cstheme="minorHAnsi"/>
          <w:w w:val="105"/>
          <w:lang w:val="pt-PT" w:eastAsia="pt-PT" w:bidi="pt-PT"/>
        </w:rPr>
        <w:t xml:space="preserve"> pela Secretaria Municipal de Saúde de Maceió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,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9C6D28">
        <w:rPr>
          <w:rFonts w:eastAsia="Verdana" w:cstheme="minorHAnsi"/>
          <w:spacing w:val="-4"/>
          <w:w w:val="105"/>
          <w:lang w:val="pt-PT" w:eastAsia="pt-PT" w:bidi="pt-PT"/>
        </w:rPr>
        <w:t xml:space="preserve">órgão pertencente a administração direta desse Município,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onde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se</w:t>
      </w:r>
      <w:r w:rsidR="00EC3B25" w:rsidRPr="00E37B6B">
        <w:rPr>
          <w:rFonts w:eastAsia="Verdana" w:cstheme="minorHAnsi"/>
          <w:spacing w:val="-5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p</w:t>
      </w:r>
      <w:r w:rsidRPr="00E37B6B">
        <w:rPr>
          <w:rFonts w:eastAsia="Verdana" w:cstheme="minorHAnsi"/>
          <w:w w:val="105"/>
          <w:lang w:val="pt-PT" w:eastAsia="pt-PT" w:bidi="pt-PT"/>
        </w:rPr>
        <w:t>ô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de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comprovar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a</w:t>
      </w:r>
      <w:r w:rsidR="00EC3B25" w:rsidRPr="00E37B6B">
        <w:rPr>
          <w:rFonts w:eastAsia="Verdana" w:cstheme="minorHAnsi"/>
          <w:spacing w:val="-5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real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capacidade</w:t>
      </w:r>
      <w:r w:rsidR="00EC3B25" w:rsidRPr="00E37B6B">
        <w:rPr>
          <w:rFonts w:eastAsia="Verdana" w:cstheme="minorHAnsi"/>
          <w:spacing w:val="-5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da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empresa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para</w:t>
      </w:r>
      <w:r w:rsidR="00EC3B25" w:rsidRPr="00E37B6B">
        <w:rPr>
          <w:rFonts w:eastAsia="Verdana" w:cstheme="minorHAnsi"/>
          <w:spacing w:val="-5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a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execução</w:t>
      </w:r>
      <w:r w:rsidR="00EC3B25" w:rsidRPr="00E37B6B">
        <w:rPr>
          <w:rFonts w:eastAsia="Verdana" w:cstheme="minorHAnsi"/>
          <w:spacing w:val="-4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contratual.</w:t>
      </w:r>
      <w:r w:rsidR="00DF361F" w:rsidRPr="00E37B6B">
        <w:rPr>
          <w:rFonts w:eastAsia="Verdana" w:cstheme="minorHAnsi"/>
          <w:w w:val="105"/>
          <w:lang w:val="pt-PT" w:eastAsia="pt-PT" w:bidi="pt-PT"/>
        </w:rPr>
        <w:t xml:space="preserve"> 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Assim, para elucidar ainda mais o acima arguido, o Tribunal de Contas da União já destacou que</w:t>
      </w:r>
      <w:r w:rsidR="00465C0F" w:rsidRPr="00E37B6B">
        <w:rPr>
          <w:rFonts w:eastAsia="Verdana" w:cstheme="minorHAnsi"/>
          <w:w w:val="105"/>
          <w:lang w:val="pt-PT" w:eastAsia="pt-PT" w:bidi="pt-PT"/>
        </w:rPr>
        <w:t xml:space="preserve"> é ilegal a </w:t>
      </w:r>
      <w:r w:rsidR="009F248E" w:rsidRPr="00E37B6B">
        <w:rPr>
          <w:rFonts w:eastAsia="Verdana" w:cstheme="minorHAnsi"/>
          <w:w w:val="105"/>
          <w:lang w:val="pt-PT" w:eastAsia="pt-PT" w:bidi="pt-PT"/>
        </w:rPr>
        <w:t>e</w:t>
      </w:r>
      <w:r w:rsidR="00465C0F" w:rsidRPr="00E37B6B">
        <w:rPr>
          <w:rFonts w:eastAsia="Verdana" w:cstheme="minorHAnsi"/>
          <w:w w:val="105"/>
          <w:lang w:val="pt-PT" w:eastAsia="pt-PT" w:bidi="pt-PT"/>
        </w:rPr>
        <w:t>xigência de apresentação de contrato ou nota fiscal junto com o atestado de capacidad</w:t>
      </w:r>
      <w:r w:rsidR="00DF361F" w:rsidRPr="00E37B6B">
        <w:rPr>
          <w:rFonts w:eastAsia="Verdana" w:cstheme="minorHAnsi"/>
          <w:w w:val="105"/>
          <w:lang w:val="pt-PT" w:eastAsia="pt-PT" w:bidi="pt-PT"/>
        </w:rPr>
        <w:t>e</w:t>
      </w:r>
      <w:r w:rsidR="00465C0F" w:rsidRPr="00E37B6B">
        <w:rPr>
          <w:rFonts w:eastAsia="Verdana" w:cstheme="minorHAnsi"/>
          <w:w w:val="105"/>
          <w:lang w:val="pt-PT" w:eastAsia="pt-PT" w:bidi="pt-PT"/>
        </w:rPr>
        <w:t xml:space="preserve"> técnica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 xml:space="preserve">, conforme se observa do teor do Acórdão </w:t>
      </w:r>
      <w:r w:rsidR="00465C0F" w:rsidRPr="00E37B6B">
        <w:rPr>
          <w:rFonts w:eastAsia="Verdana" w:cstheme="minorHAnsi"/>
          <w:w w:val="105"/>
          <w:lang w:val="pt-PT" w:eastAsia="pt-PT" w:bidi="pt-PT"/>
        </w:rPr>
        <w:t>944/2013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 xml:space="preserve"> – </w:t>
      </w:r>
      <w:r w:rsidR="00465C0F" w:rsidRPr="00E37B6B">
        <w:rPr>
          <w:rFonts w:eastAsia="Verdana" w:cstheme="minorHAnsi"/>
          <w:w w:val="105"/>
          <w:lang w:val="pt-PT" w:eastAsia="pt-PT" w:bidi="pt-PT"/>
        </w:rPr>
        <w:t>Plenário</w:t>
      </w:r>
      <w:r w:rsidR="00EC3B25" w:rsidRPr="00E37B6B">
        <w:rPr>
          <w:rFonts w:eastAsia="Verdana" w:cstheme="minorHAnsi"/>
          <w:w w:val="105"/>
          <w:lang w:val="pt-PT" w:eastAsia="pt-PT" w:bidi="pt-PT"/>
        </w:rPr>
        <w:t>:</w:t>
      </w:r>
    </w:p>
    <w:p w:rsidR="00465C0F" w:rsidRPr="00E37B6B" w:rsidRDefault="00575B65" w:rsidP="00575B65">
      <w:pPr>
        <w:tabs>
          <w:tab w:val="left" w:pos="993"/>
          <w:tab w:val="left" w:pos="3544"/>
        </w:tabs>
        <w:spacing w:before="120" w:after="0" w:line="240" w:lineRule="auto"/>
        <w:ind w:left="2127"/>
        <w:jc w:val="both"/>
        <w:rPr>
          <w:rFonts w:eastAsia="Times New Roman" w:cstheme="minorHAnsi"/>
          <w:b/>
          <w:sz w:val="18"/>
          <w:szCs w:val="18"/>
        </w:rPr>
      </w:pPr>
      <w:r w:rsidRPr="00E37B6B">
        <w:rPr>
          <w:rFonts w:eastAsia="Times New Roman" w:cstheme="minorHAnsi"/>
          <w:b/>
          <w:sz w:val="18"/>
          <w:szCs w:val="18"/>
        </w:rPr>
        <w:t>“</w:t>
      </w:r>
      <w:r w:rsidR="00465C0F" w:rsidRPr="00E37B6B">
        <w:rPr>
          <w:rFonts w:eastAsia="Times New Roman" w:cstheme="minorHAnsi"/>
          <w:b/>
          <w:sz w:val="18"/>
          <w:szCs w:val="18"/>
        </w:rPr>
        <w:t>Análise</w:t>
      </w:r>
    </w:p>
    <w:p w:rsidR="00465C0F" w:rsidRPr="00E37B6B" w:rsidRDefault="00465C0F" w:rsidP="00D42D3C">
      <w:pPr>
        <w:tabs>
          <w:tab w:val="left" w:pos="993"/>
          <w:tab w:val="left" w:pos="2410"/>
        </w:tabs>
        <w:spacing w:before="120" w:after="0" w:line="240" w:lineRule="auto"/>
        <w:ind w:left="2127"/>
        <w:jc w:val="both"/>
        <w:rPr>
          <w:rFonts w:eastAsia="Times New Roman" w:cstheme="minorHAnsi"/>
          <w:sz w:val="18"/>
          <w:szCs w:val="18"/>
        </w:rPr>
      </w:pPr>
      <w:r w:rsidRPr="00E37B6B">
        <w:rPr>
          <w:rFonts w:eastAsia="Times New Roman" w:cstheme="minorHAnsi"/>
          <w:sz w:val="18"/>
          <w:szCs w:val="18"/>
        </w:rPr>
        <w:t>16.</w:t>
      </w:r>
      <w:r w:rsidRPr="00E37B6B">
        <w:rPr>
          <w:rFonts w:eastAsia="Times New Roman" w:cstheme="minorHAnsi"/>
          <w:sz w:val="18"/>
          <w:szCs w:val="18"/>
        </w:rPr>
        <w:tab/>
        <w:t>Diante dos esclarecimentos apresentados e resumidos acima, pertinentes à exigência de apresentação de cópia de contrato e de nota fiscal juntamente com o atestado de capacidade técnica, na fase de habilitação, tem-se que o TCU já firmou posição no que pertine as exigências que extrapolam o estabelecido no art. 30 da Lei 8.666/1993, conforme Voto do Ministro-Relator Benjamin Zymler, exarado no Acórdão 944/2013 – TCU – Plenário, reproduzido no Despacho da Relatoria deste processo, à peça 7, p. 3, na forma que segue.</w:t>
      </w:r>
    </w:p>
    <w:p w:rsidR="00465C0F" w:rsidRPr="00E37B6B" w:rsidRDefault="00465C0F" w:rsidP="00575B65">
      <w:pPr>
        <w:tabs>
          <w:tab w:val="left" w:pos="1134"/>
          <w:tab w:val="left" w:pos="3402"/>
        </w:tabs>
        <w:spacing w:before="120" w:after="0" w:line="240" w:lineRule="auto"/>
        <w:ind w:left="2127"/>
        <w:jc w:val="both"/>
        <w:rPr>
          <w:rFonts w:eastAsia="Times New Roman" w:cstheme="minorHAnsi"/>
          <w:sz w:val="18"/>
          <w:szCs w:val="18"/>
        </w:rPr>
      </w:pPr>
      <w:r w:rsidRPr="00E37B6B">
        <w:rPr>
          <w:rFonts w:eastAsia="Times New Roman" w:cstheme="minorHAnsi"/>
          <w:sz w:val="18"/>
          <w:szCs w:val="18"/>
        </w:rPr>
        <w:t>Acórdão 944/2013 – TCU – Plenário</w:t>
      </w:r>
    </w:p>
    <w:p w:rsidR="00465C0F" w:rsidRPr="00E37B6B" w:rsidRDefault="00465C0F" w:rsidP="00575B65">
      <w:pPr>
        <w:tabs>
          <w:tab w:val="left" w:pos="1134"/>
          <w:tab w:val="left" w:pos="3402"/>
        </w:tabs>
        <w:spacing w:before="120" w:after="0" w:line="240" w:lineRule="auto"/>
        <w:ind w:left="2127"/>
        <w:jc w:val="both"/>
        <w:rPr>
          <w:rFonts w:eastAsia="Times New Roman" w:cstheme="minorHAnsi"/>
          <w:sz w:val="18"/>
          <w:szCs w:val="18"/>
        </w:rPr>
      </w:pPr>
      <w:r w:rsidRPr="00E37B6B">
        <w:rPr>
          <w:rFonts w:eastAsia="Times New Roman" w:cstheme="minorHAnsi"/>
          <w:sz w:val="18"/>
          <w:szCs w:val="18"/>
        </w:rPr>
        <w:t>(...)</w:t>
      </w:r>
    </w:p>
    <w:p w:rsidR="00465C0F" w:rsidRPr="00E37B6B" w:rsidRDefault="00465C0F" w:rsidP="00575B65">
      <w:pPr>
        <w:tabs>
          <w:tab w:val="left" w:pos="1134"/>
          <w:tab w:val="left" w:pos="3402"/>
        </w:tabs>
        <w:spacing w:before="120" w:after="0" w:line="240" w:lineRule="auto"/>
        <w:ind w:left="2127"/>
        <w:jc w:val="both"/>
        <w:rPr>
          <w:rFonts w:eastAsia="Times New Roman" w:cstheme="minorHAnsi"/>
          <w:sz w:val="18"/>
          <w:szCs w:val="18"/>
        </w:rPr>
      </w:pPr>
      <w:r w:rsidRPr="00E37B6B">
        <w:rPr>
          <w:rFonts w:eastAsia="Times New Roman" w:cstheme="minorHAnsi"/>
          <w:sz w:val="18"/>
          <w:szCs w:val="18"/>
        </w:rPr>
        <w:t>Voto</w:t>
      </w:r>
    </w:p>
    <w:p w:rsidR="00465C0F" w:rsidRPr="00E37B6B" w:rsidRDefault="00465C0F" w:rsidP="00575B65">
      <w:pPr>
        <w:tabs>
          <w:tab w:val="left" w:pos="1134"/>
          <w:tab w:val="left" w:pos="3402"/>
        </w:tabs>
        <w:spacing w:before="120" w:after="0" w:line="240" w:lineRule="auto"/>
        <w:ind w:left="2127"/>
        <w:jc w:val="both"/>
        <w:rPr>
          <w:rFonts w:eastAsia="Times New Roman" w:cstheme="minorHAnsi"/>
          <w:sz w:val="18"/>
          <w:szCs w:val="18"/>
        </w:rPr>
      </w:pPr>
      <w:r w:rsidRPr="00E37B6B">
        <w:rPr>
          <w:rFonts w:eastAsia="Times New Roman" w:cstheme="minorHAnsi"/>
          <w:sz w:val="18"/>
          <w:szCs w:val="18"/>
        </w:rPr>
        <w:t>(...)</w:t>
      </w:r>
    </w:p>
    <w:p w:rsidR="00465C0F" w:rsidRPr="00E37B6B" w:rsidRDefault="00465C0F" w:rsidP="00575B65">
      <w:pPr>
        <w:tabs>
          <w:tab w:val="left" w:pos="1134"/>
          <w:tab w:val="left" w:pos="3402"/>
        </w:tabs>
        <w:spacing w:before="120" w:after="0" w:line="240" w:lineRule="auto"/>
        <w:ind w:left="2127"/>
        <w:jc w:val="both"/>
        <w:rPr>
          <w:rFonts w:eastAsia="Times New Roman" w:cstheme="minorHAnsi"/>
          <w:sz w:val="18"/>
          <w:szCs w:val="18"/>
        </w:rPr>
      </w:pPr>
      <w:r w:rsidRPr="00E37B6B">
        <w:rPr>
          <w:rFonts w:eastAsia="Times New Roman" w:cstheme="minorHAnsi"/>
          <w:sz w:val="18"/>
          <w:szCs w:val="18"/>
        </w:rPr>
        <w:t>No que se refere às notas fiscais, a jurisprudência do Tribunal é firme no sentido de que o art. 30 da Lei 8.666/1993, ao utilizar a expressão “limitar-se-á”, elenca de forma exaustiva todos os documentos que podem ser exigidos para habilitar tecnicamente um licitante (v.g. Decisão 739/2001 – Plenário; Acórdão 597/2007 – Plenário). A par disso, há que se destacar o fato de que nenhuma dúvida ou ressalva foi suscitada, pela equipe que conduziu o certame, quanto à idoneidade ou à fidedignidade dos atestados apresentados pela empresa. Mas mesmo que dúvidas houvesse nesse sentido, dada a natureza da prova que se procura obter com a exigência de atestados de capacitação técnica, o certo é que pouca ou nenhuma utilidade teriam as respectivas notas fiscais. Numa tal hipótese, incidiria, isto sim, a disciplina do § 3º do art. 43 do Estatuto de Licitações, que faculta à Administração a realização de diligências para esclarecer ou complementar a instrução do processo.</w:t>
      </w:r>
    </w:p>
    <w:p w:rsidR="00465C0F" w:rsidRPr="00E37B6B" w:rsidRDefault="00465C0F" w:rsidP="00575B65">
      <w:pPr>
        <w:tabs>
          <w:tab w:val="left" w:pos="1134"/>
          <w:tab w:val="left" w:pos="3402"/>
        </w:tabs>
        <w:spacing w:before="120" w:after="0" w:line="240" w:lineRule="auto"/>
        <w:ind w:left="2127"/>
        <w:jc w:val="both"/>
        <w:rPr>
          <w:rFonts w:eastAsia="Times New Roman" w:cstheme="minorHAnsi"/>
          <w:sz w:val="18"/>
          <w:szCs w:val="18"/>
        </w:rPr>
      </w:pPr>
      <w:r w:rsidRPr="00E37B6B">
        <w:rPr>
          <w:rFonts w:eastAsia="Times New Roman" w:cstheme="minorHAnsi"/>
          <w:sz w:val="18"/>
          <w:szCs w:val="18"/>
        </w:rPr>
        <w:t>(...)</w:t>
      </w:r>
    </w:p>
    <w:p w:rsidR="00465C0F" w:rsidRPr="00E37B6B" w:rsidRDefault="00465C0F" w:rsidP="00E52E23">
      <w:pPr>
        <w:tabs>
          <w:tab w:val="left" w:pos="1134"/>
          <w:tab w:val="left" w:pos="2410"/>
        </w:tabs>
        <w:spacing w:before="120" w:after="0" w:line="240" w:lineRule="auto"/>
        <w:ind w:left="2127"/>
        <w:jc w:val="both"/>
        <w:rPr>
          <w:rFonts w:eastAsia="Times New Roman" w:cstheme="minorHAnsi"/>
          <w:sz w:val="18"/>
          <w:szCs w:val="18"/>
        </w:rPr>
      </w:pPr>
      <w:r w:rsidRPr="00E37B6B">
        <w:rPr>
          <w:rFonts w:eastAsia="Times New Roman" w:cstheme="minorHAnsi"/>
          <w:sz w:val="18"/>
          <w:szCs w:val="18"/>
        </w:rPr>
        <w:t>17.</w:t>
      </w:r>
      <w:r w:rsidRPr="00E37B6B">
        <w:rPr>
          <w:rFonts w:eastAsia="Times New Roman" w:cstheme="minorHAnsi"/>
          <w:sz w:val="18"/>
          <w:szCs w:val="18"/>
        </w:rPr>
        <w:tab/>
        <w:t xml:space="preserve">Os esclarecimentos apresentados nas alíneas ‘a’ a ‘d’, apesar de demonstrarem intensa preocupação por parte da unidade jurisdicionada em assegurar que o objeto do certame seja efetivamente cumprido, não foram suficientes para justificar a exigência de apresentação do contrato e notas fiscais relativas a cada atestado a ser apresentado pelas empresas interessadas em participar do pregão eletrônico, à luz do art. 30 da Lei 8.666/1993 e do teor do trecho do Voto do Relator do Acórdão 944/2013 – TCU – Plenário, acima reproduzido. Além dessa questão observa-se nos textos das alíneas ‘a’ a ‘c’, que os argumentos utilizados versam, em primeiro lugar, acerca da comprovação da veracidade das informações constantes no atestado de capacidade técnica. E em segundo lugar, que os “licitantes devidamente habilitados”, ou seja, aqueles que obviamente apresentarem o contrato e as notas fiscais têm capacidade para executar o objeto a ser contratado. Portanto, os esclarecimentos apresentados não possuem argumentação lógica e plausível suficientes para a manutenção da exigência restritiva em tela. </w:t>
      </w:r>
      <w:r w:rsidRPr="00E37B6B">
        <w:rPr>
          <w:rFonts w:eastAsia="Times New Roman" w:cstheme="minorHAnsi"/>
          <w:sz w:val="18"/>
          <w:szCs w:val="18"/>
        </w:rPr>
        <w:lastRenderedPageBreak/>
        <w:t>Aqui vale destacar que o texto do voto acima reproduzido é bem claro em relação a essa questão.</w:t>
      </w:r>
    </w:p>
    <w:p w:rsidR="00676DE0" w:rsidRPr="00E37B6B" w:rsidRDefault="00676DE0" w:rsidP="00D810E2">
      <w:pPr>
        <w:spacing w:after="0" w:line="240" w:lineRule="auto"/>
        <w:jc w:val="both"/>
        <w:rPr>
          <w:rFonts w:eastAsia="Arial" w:cstheme="minorHAnsi"/>
          <w:lang w:val="pt-PT" w:eastAsia="pt-PT" w:bidi="pt-PT"/>
        </w:rPr>
      </w:pPr>
    </w:p>
    <w:p w:rsidR="00171A86" w:rsidRPr="00E37B6B" w:rsidRDefault="003D6946" w:rsidP="00606D8F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t-BR"/>
        </w:rPr>
      </w:pPr>
      <w:r w:rsidRPr="00E37B6B">
        <w:rPr>
          <w:rFonts w:eastAsia="Times New Roman" w:cstheme="minorHAnsi"/>
          <w:color w:val="000000"/>
          <w:lang w:eastAsia="pt-BR"/>
        </w:rPr>
        <w:t>A</w:t>
      </w:r>
      <w:r w:rsidR="00676DE0" w:rsidRPr="00E37B6B">
        <w:rPr>
          <w:rFonts w:eastAsia="Times New Roman" w:cstheme="minorHAnsi"/>
          <w:color w:val="000000"/>
          <w:lang w:eastAsia="pt-BR"/>
        </w:rPr>
        <w:t xml:space="preserve">o analisar a documentação da empresa </w:t>
      </w:r>
      <w:r w:rsidR="00637CAD" w:rsidRPr="00637CAD">
        <w:rPr>
          <w:rFonts w:cstheme="minorHAnsi"/>
          <w:b/>
          <w:bCs/>
        </w:rPr>
        <w:t>SIDNEY GOUVEIA VESPA DA SILVA</w:t>
      </w:r>
      <w:r w:rsidR="00BC4416" w:rsidRPr="008777CA">
        <w:rPr>
          <w:rFonts w:cstheme="minorHAnsi"/>
          <w:b/>
          <w:bCs/>
        </w:rPr>
        <w:t>-ME</w:t>
      </w:r>
      <w:r w:rsidR="00676DE0" w:rsidRPr="00E37B6B">
        <w:rPr>
          <w:rFonts w:eastAsia="Times New Roman" w:cstheme="minorHAnsi"/>
          <w:color w:val="000000"/>
          <w:lang w:eastAsia="pt-BR"/>
        </w:rPr>
        <w:t xml:space="preserve">, ora </w:t>
      </w:r>
      <w:r w:rsidR="00160488" w:rsidRPr="00E37B6B">
        <w:rPr>
          <w:rFonts w:eastAsia="Times New Roman" w:cstheme="minorHAnsi"/>
          <w:color w:val="000000"/>
          <w:lang w:eastAsia="pt-BR"/>
        </w:rPr>
        <w:t>vencedora</w:t>
      </w:r>
      <w:r w:rsidR="00156764">
        <w:rPr>
          <w:rFonts w:eastAsia="Times New Roman" w:cstheme="minorHAnsi"/>
          <w:color w:val="000000"/>
          <w:lang w:eastAsia="pt-BR"/>
        </w:rPr>
        <w:t xml:space="preserve"> do item 6</w:t>
      </w:r>
      <w:r w:rsidR="00676DE0" w:rsidRPr="00E37B6B">
        <w:rPr>
          <w:rFonts w:eastAsia="Times New Roman" w:cstheme="minorHAnsi"/>
          <w:color w:val="000000"/>
          <w:lang w:eastAsia="pt-BR"/>
        </w:rPr>
        <w:t>, constata</w:t>
      </w:r>
      <w:r w:rsidR="00344430">
        <w:rPr>
          <w:rFonts w:eastAsia="Times New Roman" w:cstheme="minorHAnsi"/>
          <w:color w:val="000000"/>
          <w:lang w:eastAsia="pt-BR"/>
        </w:rPr>
        <w:t xml:space="preserve">mos </w:t>
      </w:r>
      <w:r w:rsidR="00676DE0" w:rsidRPr="00E37B6B">
        <w:rPr>
          <w:rFonts w:eastAsia="Times New Roman" w:cstheme="minorHAnsi"/>
          <w:color w:val="000000"/>
          <w:lang w:eastAsia="pt-BR"/>
        </w:rPr>
        <w:t>que o atestado por ela fornecid</w:t>
      </w:r>
      <w:r w:rsidR="002B536C">
        <w:rPr>
          <w:rFonts w:eastAsia="Times New Roman" w:cstheme="minorHAnsi"/>
          <w:color w:val="000000"/>
          <w:lang w:eastAsia="pt-BR"/>
        </w:rPr>
        <w:t>o</w:t>
      </w:r>
      <w:r w:rsidR="00676DE0" w:rsidRPr="00E37B6B">
        <w:rPr>
          <w:rFonts w:eastAsia="Times New Roman" w:cstheme="minorHAnsi"/>
          <w:color w:val="000000"/>
          <w:lang w:eastAsia="pt-BR"/>
        </w:rPr>
        <w:t xml:space="preserve"> atende as exigências editalícias, pois </w:t>
      </w:r>
      <w:r w:rsidR="002B536C">
        <w:rPr>
          <w:rFonts w:eastAsia="Times New Roman" w:cstheme="minorHAnsi"/>
          <w:color w:val="000000"/>
          <w:lang w:eastAsia="pt-BR"/>
        </w:rPr>
        <w:t xml:space="preserve">foi </w:t>
      </w:r>
      <w:r w:rsidR="00676DE0" w:rsidRPr="00E37B6B">
        <w:rPr>
          <w:rFonts w:eastAsia="Times New Roman" w:cstheme="minorHAnsi"/>
          <w:color w:val="000000"/>
          <w:lang w:eastAsia="pt-BR"/>
        </w:rPr>
        <w:t xml:space="preserve">fornecido por pessoa jurídica de direito privado, comprovando expressamente que a </w:t>
      </w:r>
      <w:r w:rsidR="002B536C">
        <w:rPr>
          <w:rFonts w:eastAsia="Times New Roman" w:cstheme="minorHAnsi"/>
          <w:color w:val="000000"/>
          <w:lang w:eastAsia="pt-BR"/>
        </w:rPr>
        <w:t xml:space="preserve">mesma </w:t>
      </w:r>
      <w:r w:rsidR="00676DE0" w:rsidRPr="00E37B6B">
        <w:rPr>
          <w:rFonts w:eastAsia="Times New Roman" w:cstheme="minorHAnsi"/>
          <w:color w:val="000000"/>
          <w:lang w:eastAsia="pt-BR"/>
        </w:rPr>
        <w:t>forneceu</w:t>
      </w:r>
      <w:r w:rsidR="00160488" w:rsidRPr="00E37B6B">
        <w:rPr>
          <w:rFonts w:eastAsia="Times New Roman" w:cstheme="minorHAnsi"/>
          <w:color w:val="000000"/>
          <w:lang w:eastAsia="pt-BR"/>
        </w:rPr>
        <w:t xml:space="preserve"> </w:t>
      </w:r>
      <w:r w:rsidR="00676DE0" w:rsidRPr="00E37B6B">
        <w:rPr>
          <w:rFonts w:eastAsia="Times New Roman" w:cstheme="minorHAnsi"/>
          <w:color w:val="000000"/>
          <w:lang w:eastAsia="pt-BR"/>
        </w:rPr>
        <w:t xml:space="preserve">satisfatoriamente materiais compatíveis com o objeto do Termo de Referência </w:t>
      </w:r>
      <w:r w:rsidR="00775867" w:rsidRPr="00E37B6B">
        <w:rPr>
          <w:rFonts w:eastAsia="Times New Roman" w:cstheme="minorHAnsi"/>
          <w:color w:val="000000"/>
          <w:lang w:eastAsia="pt-BR"/>
        </w:rPr>
        <w:t>(</w:t>
      </w:r>
      <w:r w:rsidR="00676DE0" w:rsidRPr="00E37B6B">
        <w:rPr>
          <w:rFonts w:eastAsia="Times New Roman" w:cstheme="minorHAnsi"/>
          <w:color w:val="000000"/>
          <w:lang w:eastAsia="pt-BR"/>
        </w:rPr>
        <w:t>Grifo</w:t>
      </w:r>
      <w:r w:rsidR="00775867" w:rsidRPr="00E37B6B">
        <w:rPr>
          <w:rFonts w:eastAsia="Times New Roman" w:cstheme="minorHAnsi"/>
          <w:color w:val="000000"/>
          <w:lang w:eastAsia="pt-BR"/>
        </w:rPr>
        <w:t xml:space="preserve"> nosso)</w:t>
      </w:r>
      <w:r w:rsidR="0062113D" w:rsidRPr="00E37B6B">
        <w:rPr>
          <w:rFonts w:eastAsia="Times New Roman" w:cstheme="minorHAnsi"/>
          <w:color w:val="000000"/>
          <w:lang w:eastAsia="pt-BR"/>
        </w:rPr>
        <w:t>.</w:t>
      </w:r>
    </w:p>
    <w:p w:rsidR="00263934" w:rsidRPr="00E37B6B" w:rsidRDefault="00263934" w:rsidP="00606D8F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t-BR"/>
        </w:rPr>
      </w:pPr>
    </w:p>
    <w:p w:rsidR="00A83367" w:rsidRDefault="00A83367" w:rsidP="00606D8F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t-BR"/>
        </w:rPr>
      </w:pPr>
      <w:r w:rsidRPr="00E37B6B">
        <w:rPr>
          <w:rFonts w:eastAsia="Times New Roman" w:cstheme="minorHAnsi"/>
          <w:color w:val="000000"/>
          <w:lang w:eastAsia="pt-BR"/>
        </w:rPr>
        <w:t xml:space="preserve">Por todas estas razões, não resta dúvida que os agentes públicos deverão atuar ao examinar os atestados com esteio nos princípios, dentre outros, da razoabilidade, proporcionalidade, segurança jurídica e do formalismo moderado. </w:t>
      </w:r>
    </w:p>
    <w:p w:rsidR="006724D0" w:rsidRPr="00E37B6B" w:rsidRDefault="006724D0" w:rsidP="00606D8F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t-BR"/>
        </w:rPr>
      </w:pPr>
    </w:p>
    <w:p w:rsidR="00A83367" w:rsidRDefault="00A83367" w:rsidP="00606D8F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t-BR"/>
        </w:rPr>
      </w:pPr>
      <w:r w:rsidRPr="00E37B6B">
        <w:rPr>
          <w:rFonts w:eastAsia="Times New Roman" w:cstheme="minorHAnsi"/>
          <w:color w:val="000000"/>
          <w:lang w:eastAsia="pt-BR"/>
        </w:rPr>
        <w:t>Desse modo, respondido</w:t>
      </w:r>
      <w:r w:rsidR="006E1929">
        <w:rPr>
          <w:rFonts w:eastAsia="Times New Roman" w:cstheme="minorHAnsi"/>
          <w:color w:val="000000"/>
          <w:lang w:eastAsia="pt-BR"/>
        </w:rPr>
        <w:t>s</w:t>
      </w:r>
      <w:r w:rsidRPr="00E37B6B">
        <w:rPr>
          <w:rFonts w:eastAsia="Times New Roman" w:cstheme="minorHAnsi"/>
          <w:color w:val="000000"/>
          <w:lang w:eastAsia="pt-BR"/>
        </w:rPr>
        <w:t xml:space="preserve"> e superado</w:t>
      </w:r>
      <w:r w:rsidR="006E1929">
        <w:rPr>
          <w:rFonts w:eastAsia="Times New Roman" w:cstheme="minorHAnsi"/>
          <w:color w:val="000000"/>
          <w:lang w:eastAsia="pt-BR"/>
        </w:rPr>
        <w:t>s</w:t>
      </w:r>
      <w:r w:rsidRPr="00E37B6B">
        <w:rPr>
          <w:rFonts w:eastAsia="Times New Roman" w:cstheme="minorHAnsi"/>
          <w:color w:val="000000"/>
          <w:lang w:eastAsia="pt-BR"/>
        </w:rPr>
        <w:t xml:space="preserve"> </w:t>
      </w:r>
      <w:r w:rsidR="00963A30" w:rsidRPr="00E37B6B">
        <w:rPr>
          <w:rFonts w:eastAsia="Times New Roman" w:cstheme="minorHAnsi"/>
          <w:color w:val="000000"/>
          <w:lang w:eastAsia="pt-BR"/>
        </w:rPr>
        <w:t>est</w:t>
      </w:r>
      <w:r w:rsidR="00963A30">
        <w:rPr>
          <w:rFonts w:eastAsia="Times New Roman" w:cstheme="minorHAnsi"/>
          <w:color w:val="000000"/>
          <w:lang w:eastAsia="pt-BR"/>
        </w:rPr>
        <w:t>ão</w:t>
      </w:r>
      <w:r w:rsidRPr="00E37B6B">
        <w:rPr>
          <w:rFonts w:eastAsia="Times New Roman" w:cstheme="minorHAnsi"/>
          <w:color w:val="000000"/>
          <w:lang w:eastAsia="pt-BR"/>
        </w:rPr>
        <w:t xml:space="preserve"> o</w:t>
      </w:r>
      <w:r w:rsidR="00763025" w:rsidRPr="00E37B6B">
        <w:rPr>
          <w:rFonts w:eastAsia="Times New Roman" w:cstheme="minorHAnsi"/>
          <w:color w:val="000000"/>
          <w:lang w:eastAsia="pt-BR"/>
        </w:rPr>
        <w:t>s</w:t>
      </w:r>
      <w:r w:rsidRPr="00E37B6B">
        <w:rPr>
          <w:rFonts w:eastAsia="Times New Roman" w:cstheme="minorHAnsi"/>
          <w:color w:val="000000"/>
          <w:lang w:eastAsia="pt-BR"/>
        </w:rPr>
        <w:t xml:space="preserve"> questionamento</w:t>
      </w:r>
      <w:r w:rsidR="00763025" w:rsidRPr="00E37B6B">
        <w:rPr>
          <w:rFonts w:eastAsia="Times New Roman" w:cstheme="minorHAnsi"/>
          <w:color w:val="000000"/>
          <w:lang w:eastAsia="pt-BR"/>
        </w:rPr>
        <w:t>s</w:t>
      </w:r>
      <w:r w:rsidRPr="00E37B6B">
        <w:rPr>
          <w:rFonts w:eastAsia="Times New Roman" w:cstheme="minorHAnsi"/>
          <w:color w:val="000000"/>
          <w:lang w:eastAsia="pt-BR"/>
        </w:rPr>
        <w:t xml:space="preserve"> acerca da exigência para comprovação do atestado de capacidade técnica</w:t>
      </w:r>
      <w:r w:rsidR="00763025" w:rsidRPr="00E37B6B">
        <w:rPr>
          <w:rFonts w:eastAsia="Times New Roman" w:cstheme="minorHAnsi"/>
          <w:color w:val="000000"/>
          <w:lang w:eastAsia="pt-BR"/>
        </w:rPr>
        <w:t xml:space="preserve"> da recorrida</w:t>
      </w:r>
      <w:r w:rsidRPr="00E37B6B">
        <w:rPr>
          <w:rFonts w:eastAsia="Times New Roman" w:cstheme="minorHAnsi"/>
          <w:color w:val="000000"/>
          <w:lang w:eastAsia="pt-BR"/>
        </w:rPr>
        <w:t>.</w:t>
      </w:r>
    </w:p>
    <w:p w:rsidR="006724D0" w:rsidRDefault="006724D0" w:rsidP="00606D8F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t-BR"/>
        </w:rPr>
      </w:pPr>
    </w:p>
    <w:p w:rsidR="006724D0" w:rsidRPr="00E37B6B" w:rsidRDefault="00FC1D4B" w:rsidP="00606D8F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Calibri" w:cstheme="minorHAnsi"/>
        </w:rPr>
        <w:t xml:space="preserve">Ainda lembramos que </w:t>
      </w:r>
      <w:r w:rsidR="006724D0" w:rsidRPr="00E37B6B">
        <w:rPr>
          <w:rFonts w:eastAsia="Calibri" w:cstheme="minorHAnsi"/>
        </w:rPr>
        <w:t>os editais de licitação não podem ser elaborados de forma a atender as condições habilitatórias das empresas, razão pela qual, recursos e impugnações fazem parte do dia-a-dia das comissões de licitação e equipes de pregão. Assim, é importante destacar que as exigências dos documentos necessários à habilitação, ora em discussão, encontram-se disciplinadas nos arts. 30 e 31, da Lei nº.8.666/93</w:t>
      </w:r>
      <w:r w:rsidR="003C0CD8">
        <w:rPr>
          <w:rFonts w:eastAsia="Calibri" w:cstheme="minorHAnsi"/>
        </w:rPr>
        <w:t>.</w:t>
      </w:r>
    </w:p>
    <w:p w:rsidR="002864C2" w:rsidRPr="00E37B6B" w:rsidRDefault="002864C2" w:rsidP="00D810E2">
      <w:pPr>
        <w:spacing w:after="0" w:line="240" w:lineRule="auto"/>
        <w:jc w:val="both"/>
        <w:rPr>
          <w:rFonts w:eastAsia="Calibri" w:cstheme="minorHAnsi"/>
        </w:rPr>
      </w:pPr>
    </w:p>
    <w:p w:rsidR="007E11BD" w:rsidRPr="00E37B6B" w:rsidRDefault="007E11BD" w:rsidP="00D810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b/>
        </w:rPr>
      </w:pPr>
      <w:r w:rsidRPr="00E37B6B">
        <w:rPr>
          <w:rFonts w:eastAsia="Calibri" w:cstheme="minorHAnsi"/>
          <w:b/>
        </w:rPr>
        <w:t>CONCLUSÃO</w:t>
      </w:r>
    </w:p>
    <w:p w:rsidR="007E11BD" w:rsidRPr="00E37B6B" w:rsidRDefault="007E11BD" w:rsidP="00F54013">
      <w:pPr>
        <w:spacing w:after="0" w:line="240" w:lineRule="auto"/>
        <w:ind w:left="284"/>
        <w:jc w:val="both"/>
        <w:rPr>
          <w:rFonts w:eastAsia="Calibri" w:cstheme="minorHAnsi"/>
        </w:rPr>
      </w:pPr>
      <w:r w:rsidRPr="00E37B6B">
        <w:rPr>
          <w:rFonts w:eastAsia="Calibri" w:cstheme="minorHAnsi"/>
        </w:rPr>
        <w:t>Consubstanciado no exposto, est</w:t>
      </w:r>
      <w:r w:rsidR="00F3559A" w:rsidRPr="00E37B6B">
        <w:rPr>
          <w:rFonts w:eastAsia="Calibri" w:cstheme="minorHAnsi"/>
        </w:rPr>
        <w:t>a</w:t>
      </w:r>
      <w:r w:rsidRPr="00E37B6B">
        <w:rPr>
          <w:rFonts w:eastAsia="Calibri" w:cstheme="minorHAnsi"/>
        </w:rPr>
        <w:t xml:space="preserve"> Pregoeir</w:t>
      </w:r>
      <w:r w:rsidR="00F3559A" w:rsidRPr="00E37B6B">
        <w:rPr>
          <w:rFonts w:eastAsia="Calibri" w:cstheme="minorHAnsi"/>
        </w:rPr>
        <w:t>a</w:t>
      </w:r>
      <w:r w:rsidRPr="00E37B6B">
        <w:rPr>
          <w:rFonts w:eastAsia="Calibri" w:cstheme="minorHAnsi"/>
        </w:rPr>
        <w:t xml:space="preserve"> opina pelo </w:t>
      </w:r>
      <w:r w:rsidRPr="00E37B6B">
        <w:rPr>
          <w:rFonts w:eastAsia="Calibri" w:cstheme="minorHAnsi"/>
          <w:b/>
        </w:rPr>
        <w:t>IMPROVIMENTO</w:t>
      </w:r>
      <w:r w:rsidRPr="00E37B6B">
        <w:rPr>
          <w:rFonts w:eastAsia="Calibri" w:cstheme="minorHAnsi"/>
        </w:rPr>
        <w:t xml:space="preserve"> do recurso interposto pela empresa</w:t>
      </w:r>
      <w:r w:rsidRPr="00E37B6B">
        <w:rPr>
          <w:rFonts w:eastAsia="Calibri" w:cstheme="minorHAnsi"/>
          <w:b/>
        </w:rPr>
        <w:t xml:space="preserve"> </w:t>
      </w:r>
      <w:r w:rsidR="00F3559A" w:rsidRPr="00E37B6B">
        <w:rPr>
          <w:rFonts w:eastAsia="Verdana" w:cstheme="minorHAnsi"/>
          <w:b/>
          <w:bCs/>
          <w:w w:val="105"/>
          <w:lang w:val="pt-PT" w:eastAsia="pt-PT" w:bidi="pt-PT"/>
        </w:rPr>
        <w:t>RS 2 PUBLICIDADE LTDA</w:t>
      </w:r>
      <w:r w:rsidRPr="00E37B6B">
        <w:rPr>
          <w:rFonts w:eastAsia="Calibri" w:cstheme="minorHAnsi"/>
        </w:rPr>
        <w:t xml:space="preserve">, mantendo, por conseguinte, a empresa </w:t>
      </w:r>
      <w:r w:rsidR="00F54013" w:rsidRPr="00637CAD">
        <w:rPr>
          <w:rFonts w:cstheme="minorHAnsi"/>
          <w:b/>
          <w:bCs/>
        </w:rPr>
        <w:t>SIDNEY GOUVEIA VESPA DA SILVA</w:t>
      </w:r>
      <w:r w:rsidR="00F54013" w:rsidRPr="008777CA">
        <w:rPr>
          <w:rFonts w:cstheme="minorHAnsi"/>
          <w:b/>
          <w:bCs/>
        </w:rPr>
        <w:t>-ME</w:t>
      </w:r>
      <w:r w:rsidRPr="00E37B6B">
        <w:rPr>
          <w:rFonts w:eastAsia="Calibri" w:cstheme="minorHAnsi"/>
          <w:b/>
        </w:rPr>
        <w:t>,</w:t>
      </w:r>
      <w:r w:rsidRPr="00E37B6B">
        <w:rPr>
          <w:rFonts w:eastAsia="Calibri" w:cstheme="minorHAnsi"/>
        </w:rPr>
        <w:t xml:space="preserve"> vencedora do</w:t>
      </w:r>
      <w:r w:rsidR="00B63E04" w:rsidRPr="00E37B6B">
        <w:rPr>
          <w:rFonts w:eastAsia="Calibri" w:cstheme="minorHAnsi"/>
        </w:rPr>
        <w:t xml:space="preserve"> ite</w:t>
      </w:r>
      <w:r w:rsidR="00F54013">
        <w:rPr>
          <w:rFonts w:eastAsia="Calibri" w:cstheme="minorHAnsi"/>
        </w:rPr>
        <w:t>m</w:t>
      </w:r>
      <w:r w:rsidR="00B63E04" w:rsidRPr="00E37B6B">
        <w:rPr>
          <w:rFonts w:eastAsia="Calibri" w:cstheme="minorHAnsi"/>
        </w:rPr>
        <w:t xml:space="preserve"> </w:t>
      </w:r>
      <w:r w:rsidR="00F54013">
        <w:rPr>
          <w:rFonts w:eastAsia="Calibri" w:cstheme="minorHAnsi"/>
        </w:rPr>
        <w:t>6</w:t>
      </w:r>
      <w:r w:rsidR="00B63E04" w:rsidRPr="00E37B6B">
        <w:rPr>
          <w:rFonts w:eastAsia="Calibri" w:cstheme="minorHAnsi"/>
        </w:rPr>
        <w:t xml:space="preserve"> do</w:t>
      </w:r>
      <w:r w:rsidRPr="00E37B6B">
        <w:rPr>
          <w:rFonts w:eastAsia="Calibri" w:cstheme="minorHAnsi"/>
        </w:rPr>
        <w:t xml:space="preserve"> certame licitatório.</w:t>
      </w:r>
    </w:p>
    <w:p w:rsidR="007E11BD" w:rsidRPr="00E37B6B" w:rsidRDefault="007E11BD" w:rsidP="00F54013">
      <w:pPr>
        <w:spacing w:after="0" w:line="240" w:lineRule="auto"/>
        <w:ind w:left="284"/>
        <w:jc w:val="both"/>
        <w:rPr>
          <w:rFonts w:eastAsia="Calibri" w:cstheme="minorHAnsi"/>
          <w:b/>
        </w:rPr>
      </w:pPr>
      <w:r w:rsidRPr="00E37B6B">
        <w:rPr>
          <w:rFonts w:eastAsia="Calibri" w:cstheme="minorHAnsi"/>
        </w:rPr>
        <w:t>Sendo assim, nos termos do inciso VII, do art. 11, do Decreto 5.450/2005, submeto a apreciação d</w:t>
      </w:r>
      <w:r w:rsidR="00575B65" w:rsidRPr="00E37B6B">
        <w:rPr>
          <w:rFonts w:eastAsia="Calibri" w:cstheme="minorHAnsi"/>
        </w:rPr>
        <w:t>a</w:t>
      </w:r>
      <w:r w:rsidRPr="00E37B6B">
        <w:rPr>
          <w:rFonts w:eastAsia="Calibri" w:cstheme="minorHAnsi"/>
        </w:rPr>
        <w:t xml:space="preserve"> </w:t>
      </w:r>
      <w:r w:rsidR="00575B65" w:rsidRPr="00E37B6B">
        <w:rPr>
          <w:rFonts w:eastAsia="Calibri" w:cstheme="minorHAnsi"/>
          <w:b/>
        </w:rPr>
        <w:t xml:space="preserve">Senhor </w:t>
      </w:r>
      <w:r w:rsidR="00BC10A7" w:rsidRPr="00E37B6B">
        <w:rPr>
          <w:rFonts w:eastAsia="Calibri" w:cstheme="minorHAnsi"/>
          <w:b/>
          <w:bCs/>
        </w:rPr>
        <w:t>Diretor Presidente da Arser</w:t>
      </w:r>
      <w:r w:rsidRPr="00E37B6B">
        <w:rPr>
          <w:rFonts w:eastAsia="Calibri" w:cstheme="minorHAnsi"/>
        </w:rPr>
        <w:t>, para decisão e procedimentos que julgar necessários.</w:t>
      </w:r>
    </w:p>
    <w:p w:rsidR="002864C2" w:rsidRPr="00E37B6B" w:rsidRDefault="002864C2" w:rsidP="00D810E2">
      <w:pPr>
        <w:spacing w:after="0" w:line="240" w:lineRule="auto"/>
        <w:jc w:val="center"/>
        <w:rPr>
          <w:rFonts w:eastAsia="Calibri" w:cstheme="minorHAnsi"/>
        </w:rPr>
      </w:pPr>
    </w:p>
    <w:p w:rsidR="00CF5E9F" w:rsidRDefault="00CF5E9F" w:rsidP="00D810E2">
      <w:pPr>
        <w:spacing w:after="0" w:line="240" w:lineRule="auto"/>
        <w:jc w:val="center"/>
        <w:rPr>
          <w:rFonts w:eastAsia="Calibri" w:cstheme="minorHAnsi"/>
        </w:rPr>
      </w:pPr>
    </w:p>
    <w:p w:rsidR="007E11BD" w:rsidRPr="00E37B6B" w:rsidRDefault="007E11BD" w:rsidP="00D810E2">
      <w:pPr>
        <w:spacing w:after="0" w:line="240" w:lineRule="auto"/>
        <w:jc w:val="center"/>
        <w:rPr>
          <w:rFonts w:eastAsia="Calibri" w:cstheme="minorHAnsi"/>
        </w:rPr>
      </w:pPr>
      <w:r w:rsidRPr="00E37B6B">
        <w:rPr>
          <w:rFonts w:eastAsia="Calibri" w:cstheme="minorHAnsi"/>
        </w:rPr>
        <w:t xml:space="preserve">Maceió, </w:t>
      </w:r>
      <w:r w:rsidR="00575B65" w:rsidRPr="00E37B6B">
        <w:rPr>
          <w:rFonts w:eastAsia="Calibri" w:cstheme="minorHAnsi"/>
        </w:rPr>
        <w:t>0</w:t>
      </w:r>
      <w:r w:rsidR="00344473">
        <w:rPr>
          <w:rFonts w:eastAsia="Calibri" w:cstheme="minorHAnsi"/>
        </w:rPr>
        <w:t>5</w:t>
      </w:r>
      <w:r w:rsidRPr="00E37B6B">
        <w:rPr>
          <w:rFonts w:eastAsia="Calibri" w:cstheme="minorHAnsi"/>
        </w:rPr>
        <w:t xml:space="preserve"> de </w:t>
      </w:r>
      <w:r w:rsidR="006D0872" w:rsidRPr="00E37B6B">
        <w:rPr>
          <w:rFonts w:eastAsia="Calibri" w:cstheme="minorHAnsi"/>
        </w:rPr>
        <w:t>agosto</w:t>
      </w:r>
      <w:r w:rsidRPr="00E37B6B">
        <w:rPr>
          <w:rFonts w:eastAsia="Calibri" w:cstheme="minorHAnsi"/>
        </w:rPr>
        <w:t xml:space="preserve"> de 201</w:t>
      </w:r>
      <w:r w:rsidR="00171A86" w:rsidRPr="00E37B6B">
        <w:rPr>
          <w:rFonts w:eastAsia="Calibri" w:cstheme="minorHAnsi"/>
        </w:rPr>
        <w:t>9</w:t>
      </w:r>
      <w:r w:rsidRPr="00E37B6B">
        <w:rPr>
          <w:rFonts w:eastAsia="Calibri" w:cstheme="minorHAnsi"/>
        </w:rPr>
        <w:t>.</w:t>
      </w:r>
    </w:p>
    <w:p w:rsidR="00171A86" w:rsidRPr="00E37B6B" w:rsidRDefault="00171A86" w:rsidP="00D810E2">
      <w:pPr>
        <w:spacing w:after="0" w:line="240" w:lineRule="auto"/>
        <w:jc w:val="center"/>
        <w:rPr>
          <w:rFonts w:eastAsia="Calibri" w:cstheme="minorHAnsi"/>
        </w:rPr>
      </w:pPr>
    </w:p>
    <w:p w:rsidR="00171A86" w:rsidRPr="00E37B6B" w:rsidRDefault="00171A86" w:rsidP="00D810E2">
      <w:pPr>
        <w:spacing w:after="0" w:line="240" w:lineRule="auto"/>
        <w:jc w:val="center"/>
        <w:rPr>
          <w:rFonts w:eastAsia="Calibri" w:cstheme="minorHAnsi"/>
        </w:rPr>
      </w:pPr>
    </w:p>
    <w:p w:rsidR="00171A86" w:rsidRPr="00E37B6B" w:rsidRDefault="006D0872" w:rsidP="00D810E2">
      <w:pPr>
        <w:spacing w:after="0" w:line="240" w:lineRule="auto"/>
        <w:jc w:val="center"/>
        <w:rPr>
          <w:rFonts w:eastAsia="Calibri" w:cstheme="minorHAnsi"/>
        </w:rPr>
      </w:pPr>
      <w:r w:rsidRPr="00E37B6B">
        <w:rPr>
          <w:rFonts w:eastAsia="Calibri" w:cstheme="minorHAnsi"/>
        </w:rPr>
        <w:t>Edsângela Gabriel Peixoto Bezerra</w:t>
      </w:r>
    </w:p>
    <w:p w:rsidR="00171A86" w:rsidRPr="00E37B6B" w:rsidRDefault="00171A86" w:rsidP="00D810E2">
      <w:pPr>
        <w:spacing w:after="0" w:line="240" w:lineRule="auto"/>
        <w:jc w:val="center"/>
        <w:rPr>
          <w:rFonts w:eastAsia="Calibri" w:cstheme="minorHAnsi"/>
        </w:rPr>
      </w:pPr>
      <w:r w:rsidRPr="00E37B6B">
        <w:rPr>
          <w:rFonts w:eastAsia="Calibri" w:cstheme="minorHAnsi"/>
        </w:rPr>
        <w:t>Pregoeir</w:t>
      </w:r>
      <w:r w:rsidR="006D0872" w:rsidRPr="00E37B6B">
        <w:rPr>
          <w:rFonts w:eastAsia="Calibri" w:cstheme="minorHAnsi"/>
        </w:rPr>
        <w:t>a</w:t>
      </w:r>
    </w:p>
    <w:p w:rsidR="00DB4DB6" w:rsidRPr="00E37B6B" w:rsidRDefault="00171A86" w:rsidP="00D810E2">
      <w:pPr>
        <w:spacing w:after="0" w:line="240" w:lineRule="auto"/>
        <w:jc w:val="center"/>
        <w:rPr>
          <w:rFonts w:eastAsia="Calibri" w:cstheme="minorHAnsi"/>
        </w:rPr>
      </w:pPr>
      <w:r w:rsidRPr="00E37B6B">
        <w:rPr>
          <w:rFonts w:eastAsia="Calibri" w:cstheme="minorHAnsi"/>
        </w:rPr>
        <w:t xml:space="preserve">Mat. </w:t>
      </w:r>
      <w:r w:rsidR="006D0872" w:rsidRPr="00E37B6B">
        <w:rPr>
          <w:rFonts w:eastAsia="Calibri" w:cstheme="minorHAnsi"/>
        </w:rPr>
        <w:t>924592-8</w:t>
      </w:r>
    </w:p>
    <w:p w:rsidR="00E3290D" w:rsidRPr="00E37B6B" w:rsidRDefault="00E3290D" w:rsidP="00D810E2">
      <w:pPr>
        <w:spacing w:after="0" w:line="240" w:lineRule="auto"/>
        <w:jc w:val="center"/>
        <w:rPr>
          <w:rFonts w:eastAsia="Calibri" w:cstheme="minorHAnsi"/>
        </w:rPr>
      </w:pPr>
    </w:p>
    <w:p w:rsidR="00F22C45" w:rsidRDefault="00F22C45" w:rsidP="00E3290D">
      <w:pPr>
        <w:spacing w:after="0" w:line="240" w:lineRule="auto"/>
        <w:rPr>
          <w:rFonts w:eastAsia="Calibri" w:cstheme="minorHAnsi"/>
        </w:rPr>
      </w:pPr>
    </w:p>
    <w:p w:rsidR="00F22C45" w:rsidRDefault="00F22C45" w:rsidP="00E3290D">
      <w:pPr>
        <w:spacing w:after="0" w:line="240" w:lineRule="auto"/>
        <w:rPr>
          <w:rFonts w:eastAsia="Calibri" w:cstheme="minorHAnsi"/>
        </w:rPr>
      </w:pPr>
    </w:p>
    <w:p w:rsidR="00F22C45" w:rsidRDefault="00F22C45" w:rsidP="00E3290D">
      <w:pPr>
        <w:spacing w:after="0" w:line="240" w:lineRule="auto"/>
        <w:rPr>
          <w:rFonts w:eastAsia="Calibri" w:cstheme="minorHAnsi"/>
        </w:rPr>
      </w:pPr>
    </w:p>
    <w:p w:rsidR="00F22C45" w:rsidRDefault="00F22C45" w:rsidP="00E3290D">
      <w:pPr>
        <w:spacing w:after="0" w:line="240" w:lineRule="auto"/>
        <w:rPr>
          <w:rFonts w:eastAsia="Calibri" w:cstheme="minorHAnsi"/>
        </w:rPr>
      </w:pPr>
    </w:p>
    <w:p w:rsidR="00F22C45" w:rsidRDefault="00F22C45" w:rsidP="00E3290D">
      <w:pPr>
        <w:spacing w:after="0" w:line="240" w:lineRule="auto"/>
        <w:rPr>
          <w:rFonts w:eastAsia="Calibri" w:cstheme="minorHAnsi"/>
        </w:rPr>
      </w:pPr>
    </w:p>
    <w:p w:rsidR="00F22C45" w:rsidRDefault="00F22C45" w:rsidP="00E3290D">
      <w:pPr>
        <w:spacing w:after="0" w:line="240" w:lineRule="auto"/>
        <w:rPr>
          <w:rFonts w:eastAsia="Calibri" w:cstheme="minorHAnsi"/>
        </w:rPr>
      </w:pPr>
    </w:p>
    <w:p w:rsidR="00F22C45" w:rsidRDefault="00F22C45" w:rsidP="00E3290D">
      <w:pPr>
        <w:spacing w:after="0" w:line="240" w:lineRule="auto"/>
        <w:rPr>
          <w:rFonts w:eastAsia="Calibri" w:cstheme="minorHAnsi"/>
        </w:rPr>
      </w:pPr>
    </w:p>
    <w:p w:rsidR="007B11E5" w:rsidRDefault="007B11E5" w:rsidP="00E3290D">
      <w:pPr>
        <w:spacing w:after="0" w:line="240" w:lineRule="auto"/>
        <w:rPr>
          <w:rFonts w:eastAsia="Calibri" w:cstheme="minorHAnsi"/>
        </w:rPr>
      </w:pPr>
    </w:p>
    <w:p w:rsidR="007B11E5" w:rsidRDefault="007B11E5" w:rsidP="00E3290D">
      <w:pPr>
        <w:spacing w:after="0" w:line="240" w:lineRule="auto"/>
        <w:rPr>
          <w:rFonts w:eastAsia="Calibri" w:cstheme="minorHAnsi"/>
        </w:rPr>
      </w:pPr>
    </w:p>
    <w:p w:rsidR="007B11E5" w:rsidRDefault="007B11E5" w:rsidP="00E3290D">
      <w:pPr>
        <w:spacing w:after="0" w:line="240" w:lineRule="auto"/>
        <w:rPr>
          <w:rFonts w:eastAsia="Calibri" w:cstheme="minorHAnsi"/>
        </w:rPr>
      </w:pPr>
    </w:p>
    <w:p w:rsidR="007B11E5" w:rsidRDefault="007B11E5" w:rsidP="00E3290D">
      <w:pPr>
        <w:spacing w:after="0" w:line="240" w:lineRule="auto"/>
        <w:rPr>
          <w:rFonts w:eastAsia="Calibri" w:cstheme="minorHAnsi"/>
        </w:rPr>
      </w:pPr>
    </w:p>
    <w:p w:rsidR="007B11E5" w:rsidRDefault="007B11E5" w:rsidP="00E3290D">
      <w:pPr>
        <w:spacing w:after="0" w:line="240" w:lineRule="auto"/>
        <w:rPr>
          <w:rFonts w:eastAsia="Calibri" w:cstheme="minorHAnsi"/>
        </w:rPr>
      </w:pPr>
    </w:p>
    <w:p w:rsidR="007B11E5" w:rsidRDefault="007B11E5" w:rsidP="00E3290D">
      <w:pPr>
        <w:spacing w:after="0" w:line="240" w:lineRule="auto"/>
        <w:rPr>
          <w:rFonts w:eastAsia="Calibri" w:cstheme="minorHAnsi"/>
        </w:rPr>
      </w:pPr>
    </w:p>
    <w:p w:rsidR="007B11E5" w:rsidRDefault="007B11E5" w:rsidP="00E3290D">
      <w:pPr>
        <w:spacing w:after="0" w:line="240" w:lineRule="auto"/>
        <w:rPr>
          <w:rFonts w:eastAsia="Calibri" w:cstheme="minorHAnsi"/>
        </w:rPr>
      </w:pPr>
    </w:p>
    <w:p w:rsidR="00F22C45" w:rsidRDefault="00F22C45" w:rsidP="00E3290D">
      <w:pPr>
        <w:spacing w:after="0" w:line="240" w:lineRule="auto"/>
        <w:rPr>
          <w:rFonts w:eastAsia="Calibri" w:cstheme="minorHAnsi"/>
        </w:rPr>
      </w:pPr>
    </w:p>
    <w:p w:rsidR="00411C59" w:rsidRPr="00E37B6B" w:rsidRDefault="00E3290D" w:rsidP="00E3290D">
      <w:pPr>
        <w:spacing w:after="0" w:line="240" w:lineRule="auto"/>
        <w:rPr>
          <w:rFonts w:eastAsia="Calibri" w:cstheme="minorHAnsi"/>
        </w:rPr>
      </w:pPr>
      <w:bookmarkStart w:id="1" w:name="_GoBack"/>
      <w:bookmarkEnd w:id="1"/>
      <w:r w:rsidRPr="00E37B6B">
        <w:rPr>
          <w:rFonts w:eastAsia="Calibri" w:cstheme="minorHAnsi"/>
        </w:rPr>
        <w:t>O original encontra-se assinado nos au</w:t>
      </w:r>
      <w:r w:rsidR="006D0872" w:rsidRPr="00E37B6B">
        <w:rPr>
          <w:rFonts w:eastAsia="Calibri" w:cstheme="minorHAnsi"/>
        </w:rPr>
        <w:t>t</w:t>
      </w:r>
      <w:r w:rsidRPr="00E37B6B">
        <w:rPr>
          <w:rFonts w:eastAsia="Calibri" w:cstheme="minorHAnsi"/>
        </w:rPr>
        <w:t>os.</w:t>
      </w:r>
    </w:p>
    <w:sectPr w:rsidR="00411C59" w:rsidRPr="00E37B6B" w:rsidSect="002411E6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389" w:rsidRDefault="00A71389" w:rsidP="009E1DBE">
      <w:pPr>
        <w:spacing w:after="0" w:line="240" w:lineRule="auto"/>
      </w:pPr>
      <w:r>
        <w:separator/>
      </w:r>
    </w:p>
  </w:endnote>
  <w:endnote w:type="continuationSeparator" w:id="0">
    <w:p w:rsidR="00A71389" w:rsidRDefault="00A71389" w:rsidP="009E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01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24E46" w:rsidRPr="00EF0033" w:rsidRDefault="00324E46" w:rsidP="00614458">
        <w:pPr>
          <w:pStyle w:val="Rodap"/>
          <w:jc w:val="right"/>
          <w:rPr>
            <w:sz w:val="20"/>
            <w:szCs w:val="20"/>
          </w:rPr>
        </w:pPr>
        <w:r w:rsidRPr="00EF0033">
          <w:rPr>
            <w:sz w:val="20"/>
            <w:szCs w:val="20"/>
          </w:rPr>
          <w:fldChar w:fldCharType="begin"/>
        </w:r>
        <w:r w:rsidRPr="00EF0033">
          <w:rPr>
            <w:sz w:val="20"/>
            <w:szCs w:val="20"/>
          </w:rPr>
          <w:instrText>PAGE   \* MERGEFORMAT</w:instrText>
        </w:r>
        <w:r w:rsidRPr="00EF0033">
          <w:rPr>
            <w:sz w:val="20"/>
            <w:szCs w:val="20"/>
          </w:rPr>
          <w:fldChar w:fldCharType="separate"/>
        </w:r>
        <w:r w:rsidR="003C0CD8">
          <w:rPr>
            <w:noProof/>
            <w:sz w:val="20"/>
            <w:szCs w:val="20"/>
          </w:rPr>
          <w:t>4</w:t>
        </w:r>
        <w:r w:rsidRPr="00EF003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389" w:rsidRDefault="00A71389" w:rsidP="009E1DBE">
      <w:pPr>
        <w:spacing w:after="0" w:line="240" w:lineRule="auto"/>
      </w:pPr>
      <w:r>
        <w:separator/>
      </w:r>
    </w:p>
  </w:footnote>
  <w:footnote w:type="continuationSeparator" w:id="0">
    <w:p w:rsidR="00A71389" w:rsidRDefault="00A71389" w:rsidP="009E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BE" w:rsidRPr="009E1DBE" w:rsidRDefault="009E1DBE" w:rsidP="009E1DB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2"/>
        <w:szCs w:val="12"/>
      </w:rPr>
    </w:pPr>
    <w:r w:rsidRPr="009E1DBE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302CD62" wp14:editId="7D8E17F1">
          <wp:simplePos x="0" y="0"/>
          <wp:positionH relativeFrom="column">
            <wp:posOffset>1121508</wp:posOffset>
          </wp:positionH>
          <wp:positionV relativeFrom="paragraph">
            <wp:posOffset>-305551</wp:posOffset>
          </wp:positionV>
          <wp:extent cx="2415540" cy="462280"/>
          <wp:effectExtent l="0" t="0" r="381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540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E1DBE" w:rsidRPr="009E1DBE" w:rsidRDefault="009E1DBE" w:rsidP="009E1DB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2"/>
        <w:szCs w:val="12"/>
      </w:rPr>
    </w:pPr>
  </w:p>
  <w:p w:rsidR="009E1DBE" w:rsidRDefault="009E1DBE" w:rsidP="009E1DB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  <w:r w:rsidRPr="009E1DBE">
      <w:rPr>
        <w:rFonts w:ascii="Calibri" w:eastAsia="Calibri" w:hAnsi="Calibri" w:cs="Times New Roman"/>
        <w:sz w:val="16"/>
        <w:szCs w:val="16"/>
      </w:rPr>
      <w:t>Rua Eng. Roberto Gonçalves, 71, Centro, Maceió/AL – 57.020-680 - Telefones: (82) 3315-3713.</w:t>
    </w:r>
  </w:p>
  <w:p w:rsidR="003178D3" w:rsidRPr="009E1DBE" w:rsidRDefault="003178D3" w:rsidP="009E1DB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7B09"/>
    <w:multiLevelType w:val="multilevel"/>
    <w:tmpl w:val="A55E8E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>
    <w:nsid w:val="268445CE"/>
    <w:multiLevelType w:val="hybridMultilevel"/>
    <w:tmpl w:val="F2DEF82C"/>
    <w:lvl w:ilvl="0" w:tplc="C480F3E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F3B3D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>
    <w:nsid w:val="305309E4"/>
    <w:multiLevelType w:val="hybridMultilevel"/>
    <w:tmpl w:val="B65A334C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DC255EC"/>
    <w:multiLevelType w:val="hybridMultilevel"/>
    <w:tmpl w:val="19C87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pStyle w:val="TR4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03204"/>
    <w:multiLevelType w:val="multilevel"/>
    <w:tmpl w:val="9C54EE00"/>
    <w:lvl w:ilvl="0">
      <w:start w:val="1"/>
      <w:numFmt w:val="decimal"/>
      <w:lvlText w:val="%1."/>
      <w:lvlJc w:val="right"/>
      <w:pPr>
        <w:ind w:left="720" w:firstLine="360"/>
      </w:pPr>
      <w:rPr>
        <w:b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-1080" w:firstLine="1080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-949" w:firstLine="1800"/>
      </w:pPr>
    </w:lvl>
    <w:lvl w:ilvl="3">
      <w:start w:val="1"/>
      <w:numFmt w:val="decimal"/>
      <w:lvlText w:val="%1.%2.%3.%4."/>
      <w:lvlJc w:val="right"/>
      <w:pPr>
        <w:ind w:left="2880" w:firstLine="2520"/>
      </w:pPr>
      <w:rPr>
        <w:b w:val="0"/>
        <w:sz w:val="24"/>
        <w:szCs w:val="24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pStyle w:val="TR3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6">
    <w:nsid w:val="75354B2D"/>
    <w:multiLevelType w:val="multilevel"/>
    <w:tmpl w:val="B5FAAC18"/>
    <w:lvl w:ilvl="0">
      <w:start w:val="1"/>
      <w:numFmt w:val="decimal"/>
      <w:pStyle w:val="Paragrafo1"/>
      <w:lvlText w:val="%1."/>
      <w:lvlJc w:val="right"/>
      <w:pPr>
        <w:ind w:left="720" w:firstLine="360"/>
      </w:pPr>
      <w:rPr>
        <w:rFonts w:hint="default"/>
        <w:b/>
        <w:u w:val="none"/>
      </w:rPr>
    </w:lvl>
    <w:lvl w:ilvl="1">
      <w:start w:val="1"/>
      <w:numFmt w:val="decimal"/>
      <w:pStyle w:val="Paragrafo11"/>
      <w:lvlText w:val="%1.%2."/>
      <w:lvlJc w:val="right"/>
      <w:pPr>
        <w:ind w:left="1440" w:firstLine="1080"/>
      </w:pPr>
      <w:rPr>
        <w:rFonts w:hint="default"/>
        <w:b w:val="0"/>
        <w:u w:val="none"/>
      </w:rPr>
    </w:lvl>
    <w:lvl w:ilvl="2">
      <w:start w:val="1"/>
      <w:numFmt w:val="decimal"/>
      <w:pStyle w:val="Paragrafo111"/>
      <w:lvlText w:val="%1.%2.%3."/>
      <w:lvlJc w:val="right"/>
      <w:pPr>
        <w:ind w:left="-665" w:firstLine="1800"/>
      </w:pPr>
      <w:rPr>
        <w:rFonts w:hint="default"/>
        <w:b w:val="0"/>
        <w:color w:val="000000"/>
        <w:u w:val="none"/>
      </w:rPr>
    </w:lvl>
    <w:lvl w:ilvl="3">
      <w:start w:val="1"/>
      <w:numFmt w:val="decimal"/>
      <w:pStyle w:val="Paragrafo1111"/>
      <w:lvlText w:val="%1.%2.%3.%4."/>
      <w:lvlJc w:val="right"/>
      <w:pPr>
        <w:ind w:left="316" w:firstLine="2520"/>
      </w:pPr>
      <w:rPr>
        <w:rFonts w:hint="default"/>
        <w:u w:val="none"/>
      </w:rPr>
    </w:lvl>
    <w:lvl w:ilvl="4">
      <w:start w:val="1"/>
      <w:numFmt w:val="decimal"/>
      <w:pStyle w:val="Paragrafo11111"/>
      <w:lvlText w:val="%1.%2.%3.%4.%5."/>
      <w:lvlJc w:val="right"/>
      <w:pPr>
        <w:ind w:left="3600" w:firstLine="32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hint="default"/>
        <w:u w:val="none"/>
      </w:rPr>
    </w:lvl>
  </w:abstractNum>
  <w:abstractNum w:abstractNumId="7">
    <w:nsid w:val="7FDE49F3"/>
    <w:multiLevelType w:val="multilevel"/>
    <w:tmpl w:val="70C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07"/>
    <w:rsid w:val="000248AD"/>
    <w:rsid w:val="00033564"/>
    <w:rsid w:val="000405F9"/>
    <w:rsid w:val="00042C28"/>
    <w:rsid w:val="0004677B"/>
    <w:rsid w:val="00081D27"/>
    <w:rsid w:val="000842A1"/>
    <w:rsid w:val="0008505F"/>
    <w:rsid w:val="00091AED"/>
    <w:rsid w:val="000A2C71"/>
    <w:rsid w:val="000D6776"/>
    <w:rsid w:val="00103D40"/>
    <w:rsid w:val="00122817"/>
    <w:rsid w:val="00122AC6"/>
    <w:rsid w:val="00122D3E"/>
    <w:rsid w:val="00126FCC"/>
    <w:rsid w:val="0013363C"/>
    <w:rsid w:val="001343C2"/>
    <w:rsid w:val="001414E6"/>
    <w:rsid w:val="00156764"/>
    <w:rsid w:val="00160488"/>
    <w:rsid w:val="0016774A"/>
    <w:rsid w:val="00171A10"/>
    <w:rsid w:val="00171A86"/>
    <w:rsid w:val="00173FC6"/>
    <w:rsid w:val="00177CC8"/>
    <w:rsid w:val="001A1EB7"/>
    <w:rsid w:val="001A28D7"/>
    <w:rsid w:val="001A3109"/>
    <w:rsid w:val="001A3EF2"/>
    <w:rsid w:val="001B138B"/>
    <w:rsid w:val="001D20CA"/>
    <w:rsid w:val="001D21CC"/>
    <w:rsid w:val="001D71A8"/>
    <w:rsid w:val="001F7028"/>
    <w:rsid w:val="001F77C0"/>
    <w:rsid w:val="002065C6"/>
    <w:rsid w:val="00207E11"/>
    <w:rsid w:val="0023113C"/>
    <w:rsid w:val="002411E6"/>
    <w:rsid w:val="00244811"/>
    <w:rsid w:val="00245662"/>
    <w:rsid w:val="002464D1"/>
    <w:rsid w:val="00263934"/>
    <w:rsid w:val="002725FA"/>
    <w:rsid w:val="00275E7B"/>
    <w:rsid w:val="00275F89"/>
    <w:rsid w:val="002819CA"/>
    <w:rsid w:val="002864C2"/>
    <w:rsid w:val="002A0ED6"/>
    <w:rsid w:val="002B416B"/>
    <w:rsid w:val="002B536C"/>
    <w:rsid w:val="002C42EC"/>
    <w:rsid w:val="002D0913"/>
    <w:rsid w:val="002E38B6"/>
    <w:rsid w:val="002F72E7"/>
    <w:rsid w:val="00302492"/>
    <w:rsid w:val="00304B88"/>
    <w:rsid w:val="00305D9B"/>
    <w:rsid w:val="00314B8A"/>
    <w:rsid w:val="003178D3"/>
    <w:rsid w:val="00317B14"/>
    <w:rsid w:val="00321C6B"/>
    <w:rsid w:val="00324E46"/>
    <w:rsid w:val="00326BA7"/>
    <w:rsid w:val="00333303"/>
    <w:rsid w:val="00344430"/>
    <w:rsid w:val="00344473"/>
    <w:rsid w:val="00344B34"/>
    <w:rsid w:val="00345687"/>
    <w:rsid w:val="003473C0"/>
    <w:rsid w:val="003521CB"/>
    <w:rsid w:val="00352409"/>
    <w:rsid w:val="003B4474"/>
    <w:rsid w:val="003C0CD8"/>
    <w:rsid w:val="003C2B78"/>
    <w:rsid w:val="003D4F49"/>
    <w:rsid w:val="003D6946"/>
    <w:rsid w:val="003E506C"/>
    <w:rsid w:val="0040193C"/>
    <w:rsid w:val="0040517F"/>
    <w:rsid w:val="00410DB9"/>
    <w:rsid w:val="00411C59"/>
    <w:rsid w:val="00425EA9"/>
    <w:rsid w:val="004316D6"/>
    <w:rsid w:val="00435367"/>
    <w:rsid w:val="00437084"/>
    <w:rsid w:val="004378F6"/>
    <w:rsid w:val="00447E8B"/>
    <w:rsid w:val="00450A79"/>
    <w:rsid w:val="00456441"/>
    <w:rsid w:val="00465C0F"/>
    <w:rsid w:val="00473E0D"/>
    <w:rsid w:val="00474AF3"/>
    <w:rsid w:val="00490AE4"/>
    <w:rsid w:val="004A50A1"/>
    <w:rsid w:val="004A55C1"/>
    <w:rsid w:val="004D1779"/>
    <w:rsid w:val="004D6675"/>
    <w:rsid w:val="004D797F"/>
    <w:rsid w:val="004E1801"/>
    <w:rsid w:val="004E2584"/>
    <w:rsid w:val="004F4913"/>
    <w:rsid w:val="004F4F10"/>
    <w:rsid w:val="0050147D"/>
    <w:rsid w:val="0050460D"/>
    <w:rsid w:val="00527607"/>
    <w:rsid w:val="00530BDF"/>
    <w:rsid w:val="00537816"/>
    <w:rsid w:val="00540729"/>
    <w:rsid w:val="00560161"/>
    <w:rsid w:val="00563EBF"/>
    <w:rsid w:val="0056697D"/>
    <w:rsid w:val="00575B65"/>
    <w:rsid w:val="005778F4"/>
    <w:rsid w:val="00590FDF"/>
    <w:rsid w:val="005A0126"/>
    <w:rsid w:val="005B3A6C"/>
    <w:rsid w:val="005C5FD7"/>
    <w:rsid w:val="005D0A57"/>
    <w:rsid w:val="005D5B33"/>
    <w:rsid w:val="005E104D"/>
    <w:rsid w:val="005E4E6B"/>
    <w:rsid w:val="005E60A0"/>
    <w:rsid w:val="005F0939"/>
    <w:rsid w:val="005F0EEB"/>
    <w:rsid w:val="005F5CF3"/>
    <w:rsid w:val="005F60E1"/>
    <w:rsid w:val="00606D8F"/>
    <w:rsid w:val="0061152F"/>
    <w:rsid w:val="00614458"/>
    <w:rsid w:val="0062113D"/>
    <w:rsid w:val="00632291"/>
    <w:rsid w:val="00637CAD"/>
    <w:rsid w:val="0065322E"/>
    <w:rsid w:val="00662BAA"/>
    <w:rsid w:val="0066505D"/>
    <w:rsid w:val="006724D0"/>
    <w:rsid w:val="00676DE0"/>
    <w:rsid w:val="006810BF"/>
    <w:rsid w:val="00691BCF"/>
    <w:rsid w:val="00696E8B"/>
    <w:rsid w:val="006A652E"/>
    <w:rsid w:val="006C0A99"/>
    <w:rsid w:val="006C183B"/>
    <w:rsid w:val="006D0872"/>
    <w:rsid w:val="006D1D39"/>
    <w:rsid w:val="006E1929"/>
    <w:rsid w:val="006F0889"/>
    <w:rsid w:val="006F0B9F"/>
    <w:rsid w:val="0070276C"/>
    <w:rsid w:val="00711B13"/>
    <w:rsid w:val="007174B8"/>
    <w:rsid w:val="007400F1"/>
    <w:rsid w:val="00763025"/>
    <w:rsid w:val="00766679"/>
    <w:rsid w:val="00771F24"/>
    <w:rsid w:val="00775867"/>
    <w:rsid w:val="00782B9D"/>
    <w:rsid w:val="00782E59"/>
    <w:rsid w:val="00797729"/>
    <w:rsid w:val="007A50AE"/>
    <w:rsid w:val="007B11E5"/>
    <w:rsid w:val="007B6F58"/>
    <w:rsid w:val="007C1172"/>
    <w:rsid w:val="007C19D9"/>
    <w:rsid w:val="007C69E6"/>
    <w:rsid w:val="007D2D39"/>
    <w:rsid w:val="007E11BD"/>
    <w:rsid w:val="007F21AF"/>
    <w:rsid w:val="007F420C"/>
    <w:rsid w:val="008123FD"/>
    <w:rsid w:val="00814B16"/>
    <w:rsid w:val="00844DF1"/>
    <w:rsid w:val="00854E40"/>
    <w:rsid w:val="00871C95"/>
    <w:rsid w:val="0089067F"/>
    <w:rsid w:val="008912C1"/>
    <w:rsid w:val="008A231B"/>
    <w:rsid w:val="008A40A0"/>
    <w:rsid w:val="008D00C7"/>
    <w:rsid w:val="008E1821"/>
    <w:rsid w:val="008F0C6A"/>
    <w:rsid w:val="008F2453"/>
    <w:rsid w:val="00911B98"/>
    <w:rsid w:val="00912452"/>
    <w:rsid w:val="0092516B"/>
    <w:rsid w:val="009314FD"/>
    <w:rsid w:val="00934686"/>
    <w:rsid w:val="00952555"/>
    <w:rsid w:val="0095331E"/>
    <w:rsid w:val="00954303"/>
    <w:rsid w:val="00955C9B"/>
    <w:rsid w:val="00962295"/>
    <w:rsid w:val="00962B8F"/>
    <w:rsid w:val="00963A30"/>
    <w:rsid w:val="009729CA"/>
    <w:rsid w:val="0099576F"/>
    <w:rsid w:val="009A1332"/>
    <w:rsid w:val="009A5C09"/>
    <w:rsid w:val="009B3145"/>
    <w:rsid w:val="009C0573"/>
    <w:rsid w:val="009C6D28"/>
    <w:rsid w:val="009E15C3"/>
    <w:rsid w:val="009E1DBE"/>
    <w:rsid w:val="009F248E"/>
    <w:rsid w:val="00A01F9D"/>
    <w:rsid w:val="00A06A5D"/>
    <w:rsid w:val="00A10799"/>
    <w:rsid w:val="00A145F6"/>
    <w:rsid w:val="00A212B6"/>
    <w:rsid w:val="00A32F31"/>
    <w:rsid w:val="00A4517F"/>
    <w:rsid w:val="00A55F1E"/>
    <w:rsid w:val="00A71389"/>
    <w:rsid w:val="00A72928"/>
    <w:rsid w:val="00A77191"/>
    <w:rsid w:val="00A83367"/>
    <w:rsid w:val="00A86BBA"/>
    <w:rsid w:val="00A90418"/>
    <w:rsid w:val="00A938C6"/>
    <w:rsid w:val="00AF2F9B"/>
    <w:rsid w:val="00B01775"/>
    <w:rsid w:val="00B02F1A"/>
    <w:rsid w:val="00B12E44"/>
    <w:rsid w:val="00B33C28"/>
    <w:rsid w:val="00B42105"/>
    <w:rsid w:val="00B62CC5"/>
    <w:rsid w:val="00B63E04"/>
    <w:rsid w:val="00B65FFB"/>
    <w:rsid w:val="00B7056A"/>
    <w:rsid w:val="00B77F34"/>
    <w:rsid w:val="00B8077F"/>
    <w:rsid w:val="00B8189E"/>
    <w:rsid w:val="00B903B9"/>
    <w:rsid w:val="00B9457B"/>
    <w:rsid w:val="00B95DCE"/>
    <w:rsid w:val="00BA14CF"/>
    <w:rsid w:val="00BC10A7"/>
    <w:rsid w:val="00BC4416"/>
    <w:rsid w:val="00BD3953"/>
    <w:rsid w:val="00BE491D"/>
    <w:rsid w:val="00BF1948"/>
    <w:rsid w:val="00BF5809"/>
    <w:rsid w:val="00C0584F"/>
    <w:rsid w:val="00C10C37"/>
    <w:rsid w:val="00C15868"/>
    <w:rsid w:val="00C51F3C"/>
    <w:rsid w:val="00C54501"/>
    <w:rsid w:val="00C55B1B"/>
    <w:rsid w:val="00C604E1"/>
    <w:rsid w:val="00C73458"/>
    <w:rsid w:val="00C834E9"/>
    <w:rsid w:val="00CB3D5A"/>
    <w:rsid w:val="00CB444E"/>
    <w:rsid w:val="00CC6FBB"/>
    <w:rsid w:val="00CD794F"/>
    <w:rsid w:val="00CF5E9F"/>
    <w:rsid w:val="00D0511D"/>
    <w:rsid w:val="00D1509F"/>
    <w:rsid w:val="00D1674E"/>
    <w:rsid w:val="00D306B5"/>
    <w:rsid w:val="00D35C2D"/>
    <w:rsid w:val="00D42D3C"/>
    <w:rsid w:val="00D57545"/>
    <w:rsid w:val="00D74918"/>
    <w:rsid w:val="00D74A7F"/>
    <w:rsid w:val="00D74F21"/>
    <w:rsid w:val="00D810E2"/>
    <w:rsid w:val="00D91EE2"/>
    <w:rsid w:val="00DB4DB6"/>
    <w:rsid w:val="00DC2D50"/>
    <w:rsid w:val="00DC4D0A"/>
    <w:rsid w:val="00DF361F"/>
    <w:rsid w:val="00E3290D"/>
    <w:rsid w:val="00E37B6B"/>
    <w:rsid w:val="00E52382"/>
    <w:rsid w:val="00E52E23"/>
    <w:rsid w:val="00E60894"/>
    <w:rsid w:val="00E74D45"/>
    <w:rsid w:val="00E86D6D"/>
    <w:rsid w:val="00E93E06"/>
    <w:rsid w:val="00E97DAE"/>
    <w:rsid w:val="00EA350F"/>
    <w:rsid w:val="00EB2008"/>
    <w:rsid w:val="00EB4645"/>
    <w:rsid w:val="00EC3B25"/>
    <w:rsid w:val="00ED00CD"/>
    <w:rsid w:val="00EF0033"/>
    <w:rsid w:val="00EF4E39"/>
    <w:rsid w:val="00F02D4C"/>
    <w:rsid w:val="00F15AF2"/>
    <w:rsid w:val="00F16493"/>
    <w:rsid w:val="00F22C45"/>
    <w:rsid w:val="00F3559A"/>
    <w:rsid w:val="00F36F76"/>
    <w:rsid w:val="00F46E87"/>
    <w:rsid w:val="00F50BB8"/>
    <w:rsid w:val="00F54013"/>
    <w:rsid w:val="00F56F52"/>
    <w:rsid w:val="00F57415"/>
    <w:rsid w:val="00F74BC0"/>
    <w:rsid w:val="00F77787"/>
    <w:rsid w:val="00F82545"/>
    <w:rsid w:val="00F95F3B"/>
    <w:rsid w:val="00F96865"/>
    <w:rsid w:val="00F96979"/>
    <w:rsid w:val="00FC1D4B"/>
    <w:rsid w:val="00FC37F0"/>
    <w:rsid w:val="00FE5390"/>
    <w:rsid w:val="00FE5F4A"/>
    <w:rsid w:val="00FE71FA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2FE3F8-586A-4E19-B31E-B0B7CBB3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1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DBE"/>
  </w:style>
  <w:style w:type="paragraph" w:styleId="Rodap">
    <w:name w:val="footer"/>
    <w:basedOn w:val="Normal"/>
    <w:link w:val="RodapChar"/>
    <w:uiPriority w:val="99"/>
    <w:unhideWhenUsed/>
    <w:rsid w:val="009E1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DBE"/>
  </w:style>
  <w:style w:type="paragraph" w:styleId="PargrafodaLista">
    <w:name w:val="List Paragraph"/>
    <w:basedOn w:val="Normal"/>
    <w:uiPriority w:val="34"/>
    <w:qFormat/>
    <w:rsid w:val="007E11BD"/>
    <w:pPr>
      <w:ind w:left="720"/>
      <w:contextualSpacing/>
    </w:pPr>
  </w:style>
  <w:style w:type="numbering" w:styleId="111111">
    <w:name w:val="Outline List 2"/>
    <w:basedOn w:val="Semlista"/>
    <w:rsid w:val="002B416B"/>
    <w:pPr>
      <w:numPr>
        <w:numId w:val="4"/>
      </w:numPr>
    </w:pPr>
  </w:style>
  <w:style w:type="paragraph" w:customStyle="1" w:styleId="Paragrafo11">
    <w:name w:val="Paragrafo 1.1"/>
    <w:basedOn w:val="Normal"/>
    <w:qFormat/>
    <w:rsid w:val="002B416B"/>
    <w:pPr>
      <w:numPr>
        <w:ilvl w:val="1"/>
        <w:numId w:val="6"/>
      </w:numPr>
      <w:spacing w:before="113" w:after="17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ragrafo111">
    <w:name w:val="Paragrafo 1.1.1"/>
    <w:basedOn w:val="Paragrafo11"/>
    <w:link w:val="Paragrafo111Char"/>
    <w:qFormat/>
    <w:rsid w:val="002B416B"/>
    <w:pPr>
      <w:numPr>
        <w:ilvl w:val="2"/>
      </w:numPr>
    </w:pPr>
  </w:style>
  <w:style w:type="paragraph" w:customStyle="1" w:styleId="Paragrafo1">
    <w:name w:val="Paragrafo 1"/>
    <w:basedOn w:val="Normal"/>
    <w:qFormat/>
    <w:rsid w:val="002B416B"/>
    <w:pPr>
      <w:numPr>
        <w:numId w:val="6"/>
      </w:numPr>
      <w:spacing w:before="113" w:after="170" w:line="240" w:lineRule="auto"/>
      <w:contextualSpacing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customStyle="1" w:styleId="Paragrafo111Char">
    <w:name w:val="Paragrafo 1.1.1 Char"/>
    <w:link w:val="Paragrafo111"/>
    <w:qFormat/>
    <w:rsid w:val="002B416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ragrafo1111">
    <w:name w:val="Paragrafo 1.1.1.1"/>
    <w:basedOn w:val="Paragrafo111"/>
    <w:link w:val="Paragrafo1111Char"/>
    <w:qFormat/>
    <w:rsid w:val="002B416B"/>
    <w:pPr>
      <w:numPr>
        <w:ilvl w:val="3"/>
      </w:numPr>
      <w:ind w:left="2880"/>
    </w:pPr>
  </w:style>
  <w:style w:type="character" w:customStyle="1" w:styleId="Paragrafo1111Char">
    <w:name w:val="Paragrafo 1.1.1.1 Char"/>
    <w:link w:val="Paragrafo1111"/>
    <w:qFormat/>
    <w:rsid w:val="002B416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ragrafo11111">
    <w:name w:val="Paragrafo 1.1.1.1.1."/>
    <w:basedOn w:val="Paragrafo1111"/>
    <w:qFormat/>
    <w:rsid w:val="002B416B"/>
    <w:pPr>
      <w:numPr>
        <w:ilvl w:val="4"/>
      </w:numPr>
      <w:tabs>
        <w:tab w:val="num" w:pos="360"/>
        <w:tab w:val="num" w:pos="1800"/>
      </w:tabs>
      <w:ind w:left="1800" w:hanging="360"/>
    </w:pPr>
  </w:style>
  <w:style w:type="character" w:customStyle="1" w:styleId="Nvel3Char">
    <w:name w:val="Nível 3 Char"/>
    <w:rsid w:val="002B416B"/>
    <w:rPr>
      <w:color w:val="000000"/>
      <w:sz w:val="24"/>
      <w:szCs w:val="24"/>
    </w:rPr>
  </w:style>
  <w:style w:type="paragraph" w:customStyle="1" w:styleId="TR3">
    <w:name w:val="TR 3"/>
    <w:basedOn w:val="Normal"/>
    <w:link w:val="TR3Char"/>
    <w:qFormat/>
    <w:rsid w:val="002B416B"/>
    <w:pPr>
      <w:numPr>
        <w:ilvl w:val="5"/>
        <w:numId w:val="5"/>
      </w:numPr>
      <w:tabs>
        <w:tab w:val="num" w:pos="1800"/>
      </w:tabs>
      <w:spacing w:before="120" w:after="120" w:line="240" w:lineRule="auto"/>
      <w:ind w:left="0" w:firstLine="993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TR4">
    <w:name w:val="TR 4"/>
    <w:basedOn w:val="Normal"/>
    <w:link w:val="TR4Char"/>
    <w:qFormat/>
    <w:rsid w:val="002B416B"/>
    <w:pPr>
      <w:numPr>
        <w:ilvl w:val="3"/>
        <w:numId w:val="2"/>
      </w:numPr>
      <w:spacing w:before="120" w:after="120" w:line="240" w:lineRule="auto"/>
      <w:ind w:left="0" w:firstLine="1559"/>
      <w:jc w:val="both"/>
      <w:outlineLvl w:val="3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R3Char">
    <w:name w:val="TR 3 Char"/>
    <w:link w:val="TR3"/>
    <w:rsid w:val="002B416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R4Char">
    <w:name w:val="TR 4 Char"/>
    <w:link w:val="TR4"/>
    <w:rsid w:val="002B416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3vff3xh4yd">
    <w:name w:val="_3vff3xh4yd"/>
    <w:basedOn w:val="Normal"/>
    <w:rsid w:val="001A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E4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F5809"/>
    <w:rPr>
      <w:color w:val="0563C1" w:themeColor="hyperlink"/>
      <w:u w:val="single"/>
    </w:rPr>
  </w:style>
  <w:style w:type="paragraph" w:customStyle="1" w:styleId="Default">
    <w:name w:val="Default"/>
    <w:rsid w:val="00775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24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6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4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prasnet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2086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Edsângela Bezerra</cp:lastModifiedBy>
  <cp:revision>63</cp:revision>
  <cp:lastPrinted>2019-08-05T14:30:00Z</cp:lastPrinted>
  <dcterms:created xsi:type="dcterms:W3CDTF">2019-08-02T16:25:00Z</dcterms:created>
  <dcterms:modified xsi:type="dcterms:W3CDTF">2019-08-05T14:34:00Z</dcterms:modified>
</cp:coreProperties>
</file>