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770"/>
        </w:tabs>
        <w:spacing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TERMO DE REFERÊNCIA</w:t>
      </w:r>
    </w:p>
    <w:p w:rsidR="00276727" w:rsidRDefault="00276727">
      <w:pPr>
        <w:pStyle w:val="Standard"/>
        <w:rPr>
          <w:rFonts w:ascii="Times New Roman" w:hAnsi="Times New Roman" w:cs="Times New Roman"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– INTRODUÇÃO</w:t>
      </w:r>
    </w:p>
    <w:p w:rsidR="00276727" w:rsidRDefault="00964923">
      <w:pPr>
        <w:pStyle w:val="Standard"/>
        <w:spacing w:line="100" w:lineRule="atLeast"/>
        <w:jc w:val="both"/>
      </w:pPr>
      <w:r>
        <w:rPr>
          <w:rFonts w:ascii="Times New Roman" w:hAnsi="Times New Roman" w:cs="Times New Roman"/>
          <w:color w:val="000000"/>
        </w:rPr>
        <w:t xml:space="preserve">1.1. Este documento tem o objetivo de reunir os elementos necessários e suficientes à caracterização do objeto a ser contratado, fornecendo </w:t>
      </w:r>
      <w:r>
        <w:rPr>
          <w:rFonts w:ascii="Times New Roman" w:hAnsi="Times New Roman" w:cs="Times New Roman"/>
          <w:color w:val="000000"/>
        </w:rPr>
        <w:t>subsídios para o</w:t>
      </w:r>
      <w:r>
        <w:rPr>
          <w:rFonts w:ascii="Times New Roman" w:hAnsi="Times New Roman" w:cs="Times New Roman"/>
          <w:b/>
          <w:bCs/>
          <w:color w:val="000000"/>
        </w:rPr>
        <w:t xml:space="preserve"> Registro de Preços </w:t>
      </w:r>
      <w:r>
        <w:rPr>
          <w:rFonts w:ascii="Times New Roman" w:hAnsi="Times New Roman" w:cs="Times New Roman"/>
          <w:color w:val="000000"/>
        </w:rPr>
        <w:t>pra eventual e futura contratação, conforme a Lei 10.520/2002 e Decreto Municipal n° 7.496/2013.</w:t>
      </w:r>
    </w:p>
    <w:p w:rsidR="00276727" w:rsidRDefault="00276727">
      <w:pPr>
        <w:pStyle w:val="Standard"/>
        <w:spacing w:line="100" w:lineRule="atLeast"/>
        <w:jc w:val="both"/>
        <w:rPr>
          <w:rFonts w:ascii="Times New Roman" w:hAnsi="Times New Roman" w:cs="Times New Roman"/>
          <w:color w:val="000000"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10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– JUSTIFICATIVA DA CONTRATAÇÃO</w:t>
      </w:r>
    </w:p>
    <w:p w:rsidR="00276727" w:rsidRDefault="00964923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</w:rPr>
        <w:t>2.1.</w:t>
      </w:r>
      <w:r>
        <w:rPr>
          <w:rFonts w:ascii="Times New Roman" w:hAnsi="Times New Roman" w:cs="Times New Roman"/>
          <w:color w:val="000000"/>
        </w:rPr>
        <w:t xml:space="preserve"> Em virtude da necessidade de suprir a necessidade da Secretaria Municipal de Saúde, </w:t>
      </w:r>
      <w:r>
        <w:rPr>
          <w:rFonts w:ascii="Times New Roman" w:hAnsi="Times New Roman" w:cs="Times New Roman"/>
          <w:color w:val="000000"/>
        </w:rPr>
        <w:t xml:space="preserve">com a aquisição de Instrumentos para compor </w:t>
      </w:r>
      <w:proofErr w:type="gramStart"/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Kit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de Agentes para Controle às Endemias</w:t>
      </w:r>
      <w:r>
        <w:rPr>
          <w:rFonts w:ascii="Times New Roman" w:hAnsi="Times New Roman" w:cs="Times New Roman"/>
          <w:color w:val="000000"/>
        </w:rPr>
        <w:t>, adotou-se o Sistema de Registro de Preços para a presente aquisição em razão de:</w:t>
      </w:r>
    </w:p>
    <w:p w:rsidR="00276727" w:rsidRDefault="00964923">
      <w:pPr>
        <w:pStyle w:val="PargrafodaLista"/>
        <w:numPr>
          <w:ilvl w:val="0"/>
          <w:numId w:val="5"/>
        </w:numPr>
        <w:autoSpaceDE w:val="0"/>
        <w:ind w:left="567" w:hanging="283"/>
        <w:jc w:val="both"/>
      </w:pPr>
      <w:r>
        <w:t xml:space="preserve">Haver previsão de aquisições frequentes do produto a ser licitado, diante de suas </w:t>
      </w:r>
      <w:r>
        <w:t>características e natureza;</w:t>
      </w:r>
    </w:p>
    <w:p w:rsidR="00276727" w:rsidRDefault="00964923">
      <w:pPr>
        <w:pStyle w:val="Standard"/>
        <w:jc w:val="both"/>
      </w:pPr>
      <w:r>
        <w:rPr>
          <w:rFonts w:ascii="Times New Roman" w:hAnsi="Times New Roman" w:cs="Times New Roman"/>
          <w:color w:val="000000"/>
        </w:rPr>
        <w:t xml:space="preserve">     b) Impossibilidade de definir previamente a quantidade exata do objeto a ser adquirido.</w:t>
      </w:r>
    </w:p>
    <w:p w:rsidR="00276727" w:rsidRDefault="00964923">
      <w:pPr>
        <w:pStyle w:val="Standard"/>
        <w:tabs>
          <w:tab w:val="left" w:pos="7200"/>
        </w:tabs>
        <w:jc w:val="both"/>
      </w:pPr>
      <w:r>
        <w:rPr>
          <w:rFonts w:ascii="Times New Roman" w:hAnsi="Times New Roman" w:cs="Times New Roman"/>
          <w:b/>
          <w:color w:val="000000"/>
        </w:rPr>
        <w:t xml:space="preserve">2.2. </w:t>
      </w:r>
      <w:r>
        <w:rPr>
          <w:rFonts w:ascii="Times New Roman" w:eastAsia="Times New Roman" w:hAnsi="Times New Roman" w:cs="Times New Roman"/>
          <w:color w:val="000000"/>
        </w:rPr>
        <w:t xml:space="preserve">A futura 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eventual  aquisição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de Kit de Agente de Controle às Endemias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visam ao atendimento das necessidades de consumo de mater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ial para as atribuições dos Agente de Controle às Endemias. O Município de Maceió possui cerca de 600 (seiscentos) agentes em campo que são vinculados à </w:t>
      </w:r>
      <w:r>
        <w:rPr>
          <w:rFonts w:ascii="Times New Roman" w:eastAsia="Arial" w:hAnsi="Times New Roman" w:cs="Times New Roman"/>
          <w:color w:val="00000A"/>
          <w:shd w:val="clear" w:color="auto" w:fill="FFFFFF"/>
        </w:rPr>
        <w:t>Coordenação de Doenças Transmitidas por Vetores e Animais Peçonhentos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/ CCZ/ Diretoria de Vigilância em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Saúde/ Secretaria Municipal de Saúde que realizam diariamente visitas em domicílios, pontos estratégicos, bloqueio de casos, reconhecimento geográfico e dentre outros. Para a realização perfeita deste trabalho, se faz necessário a utilização de um conjunto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de materiais.</w:t>
      </w:r>
    </w:p>
    <w:p w:rsidR="00276727" w:rsidRDefault="00964923">
      <w:pPr>
        <w:pStyle w:val="NormalWeb"/>
        <w:spacing w:before="0" w:after="0"/>
        <w:jc w:val="both"/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A quantidade solicitada foi baseada em equipar os 600 (seiscentos) agentes em campo, porém a maioria dos objetos solicitados, com o uso diário, podem se desgastar com maior celeridade e outros quebrarem. Por isso, foi feito no Sistema de Re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gistro de Preço para sanar quaisquer imprevistos de quantidade de material. </w:t>
      </w:r>
      <w:r>
        <w:rPr>
          <w:rFonts w:ascii="Times New Roman" w:hAnsi="Times New Roman" w:cs="Times New Roman"/>
          <w:color w:val="000000"/>
        </w:rPr>
        <w:t>Foi feita uma estimativa para os objetos em tela ter a duração mínima de 12 (doze) meses.</w:t>
      </w:r>
    </w:p>
    <w:p w:rsidR="00276727" w:rsidRDefault="00964923">
      <w:pPr>
        <w:pStyle w:val="Standard"/>
        <w:tabs>
          <w:tab w:val="left" w:pos="7200"/>
        </w:tabs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2.3. 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</w:rPr>
        <w:t> 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  Entende-se que apesar da Súmula nº 247 do egrégio Tribunal de Contas da União def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inir que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 xml:space="preserve"> “é obrigatória a admissão da adjudicação por item e não por preço global, nos editais das licitações para a contratação de obras, serviços, compras e alienações, cujo objeto seja divisível, desde que não haja prejuízo para o conjunto ou complexo o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u perda de economia de escala, tendo em vista o objetivo de propiciar a ampla participação de licitantes que, embora não dispondo de capacidade para a execução, fornecimento ou aquisição da totalidade do objeto, possam fazê-lo com relação a itens ou unidad</w:t>
      </w:r>
      <w:r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</w:rPr>
        <w:t>es autônomas, devendo as exigências de habilitação adequar-se a essa divisibilidade.” 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Pois bem, têm-se entendido, com certa razão, que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a  "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divisão da pretensão contratual", pode gerar potenciais benefícios à competitividade. Na verdade, o desenvolvimento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das </w:t>
      </w:r>
      <w:proofErr w:type="gramStart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licitações</w:t>
      </w:r>
      <w:proofErr w:type="gramEnd"/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demonstrou que, por vezes, para ampliar a competição, é importante dividir a pretensão contratual, gerando certames autônomos que permitam uma maior participação de empresas interessadas, possibilitando aquelas que não conseguiriam disputar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o certame completo, oferecer melhores propostas para a disputa dividida.</w:t>
      </w:r>
    </w:p>
    <w:p w:rsidR="00276727" w:rsidRDefault="00964923">
      <w:pPr>
        <w:pStyle w:val="Standard"/>
        <w:tabs>
          <w:tab w:val="left" w:pos="7200"/>
        </w:tabs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</w:rPr>
        <w:t>2.4</w:t>
      </w:r>
      <w:r>
        <w:rPr>
          <w:rFonts w:ascii="Times New Roman" w:eastAsia="Times New Roman" w:hAnsi="Times New Roman" w:cs="Times New Roman"/>
          <w:color w:val="000000"/>
        </w:rPr>
        <w:t xml:space="preserve"> A Secretaria Municipal de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Saúde de Maceió </w:t>
      </w:r>
      <w:r>
        <w:rPr>
          <w:rFonts w:ascii="Times New Roman" w:eastAsia="Times New Roman" w:hAnsi="Times New Roman" w:cs="Times New Roman"/>
          <w:color w:val="000000"/>
        </w:rPr>
        <w:t>não tem intenção em convocar os demais Órgãos municipais para atuarem como participantes, tendo em vista que o objeto deste Termo de Refe</w:t>
      </w:r>
      <w:r>
        <w:rPr>
          <w:rFonts w:ascii="Times New Roman" w:eastAsia="Times New Roman" w:hAnsi="Times New Roman" w:cs="Times New Roman"/>
          <w:color w:val="000000"/>
        </w:rPr>
        <w:t>rência são específicas deste órgão.</w:t>
      </w:r>
    </w:p>
    <w:p w:rsidR="00276727" w:rsidRDefault="00276727">
      <w:pPr>
        <w:pStyle w:val="Standard"/>
        <w:tabs>
          <w:tab w:val="left" w:pos="720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276727" w:rsidRDefault="00276727">
      <w:pPr>
        <w:pStyle w:val="Standard"/>
        <w:tabs>
          <w:tab w:val="left" w:pos="720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276727" w:rsidRDefault="00276727">
      <w:pPr>
        <w:pStyle w:val="Standard"/>
        <w:tabs>
          <w:tab w:val="left" w:pos="720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276727" w:rsidRDefault="00276727">
      <w:pPr>
        <w:pStyle w:val="Standard"/>
        <w:tabs>
          <w:tab w:val="left" w:pos="720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276727" w:rsidRDefault="00276727">
      <w:pPr>
        <w:pStyle w:val="Standard"/>
        <w:tabs>
          <w:tab w:val="left" w:pos="720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276727" w:rsidRDefault="00276727">
      <w:pPr>
        <w:pStyle w:val="Standard"/>
        <w:tabs>
          <w:tab w:val="left" w:pos="7200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3 – DO OBJETO</w:t>
      </w:r>
    </w:p>
    <w:p w:rsidR="00276727" w:rsidRDefault="00964923">
      <w:pPr>
        <w:pStyle w:val="PargrafodaLista"/>
        <w:tabs>
          <w:tab w:val="left" w:pos="7200"/>
        </w:tabs>
        <w:spacing w:line="100" w:lineRule="atLeast"/>
        <w:ind w:left="0"/>
        <w:jc w:val="both"/>
      </w:pPr>
      <w:r>
        <w:rPr>
          <w:rFonts w:eastAsia="Calibri"/>
          <w:b/>
          <w:bCs/>
          <w:sz w:val="22"/>
          <w:szCs w:val="22"/>
        </w:rPr>
        <w:t>3.1.</w:t>
      </w:r>
      <w:bookmarkStart w:id="0" w:name="_GoBack"/>
      <w:r>
        <w:rPr>
          <w:rFonts w:eastAsia="Calibri"/>
        </w:rPr>
        <w:t xml:space="preserve">Registro de Preços para futuro e eventual fornecimento de Equipamentos </w:t>
      </w:r>
      <w:r>
        <w:rPr>
          <w:rFonts w:eastAsia="Calibri"/>
          <w:color w:val="000000"/>
        </w:rPr>
        <w:t xml:space="preserve">para compor </w:t>
      </w:r>
      <w:proofErr w:type="gramStart"/>
      <w:r>
        <w:rPr>
          <w:rFonts w:eastAsia="Calibri"/>
          <w:color w:val="000000"/>
        </w:rPr>
        <w:t>o  Kit</w:t>
      </w:r>
      <w:proofErr w:type="gramEnd"/>
      <w:r>
        <w:rPr>
          <w:rFonts w:eastAsia="Calibri"/>
          <w:color w:val="000000"/>
        </w:rPr>
        <w:t xml:space="preserve"> de Agentes para Controle às Endemias</w:t>
      </w:r>
      <w:bookmarkEnd w:id="0"/>
      <w:r>
        <w:rPr>
          <w:rFonts w:eastAsia="Calibri"/>
          <w:color w:val="000000"/>
        </w:rPr>
        <w:t xml:space="preserve">, </w:t>
      </w:r>
      <w:r>
        <w:rPr>
          <w:rFonts w:eastAsia="Calibri"/>
        </w:rPr>
        <w:t xml:space="preserve">nas especificações e quantidades constantes no Anexo I deste Termo </w:t>
      </w:r>
      <w:r>
        <w:rPr>
          <w:rFonts w:eastAsia="Calibri"/>
        </w:rPr>
        <w:t>de Referência.</w:t>
      </w:r>
    </w:p>
    <w:p w:rsidR="00276727" w:rsidRDefault="00276727">
      <w:pPr>
        <w:pStyle w:val="PargrafodaLista"/>
        <w:tabs>
          <w:tab w:val="left" w:pos="7200"/>
        </w:tabs>
        <w:spacing w:line="100" w:lineRule="atLeast"/>
        <w:ind w:left="0"/>
        <w:jc w:val="both"/>
        <w:rPr>
          <w:rFonts w:eastAsia="Calibri"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spacing w:line="100" w:lineRule="atLeast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4 – MODALIDADE DA LICITAÇÃO E CRITÉRIO DE JULGAMENTO</w:t>
      </w:r>
    </w:p>
    <w:p w:rsidR="00276727" w:rsidRDefault="00964923">
      <w:pPr>
        <w:pStyle w:val="Standard"/>
        <w:jc w:val="both"/>
      </w:pPr>
      <w:r>
        <w:rPr>
          <w:rFonts w:ascii="Times New Roman" w:hAnsi="Times New Roman" w:cs="Times New Roman"/>
          <w:b/>
          <w:color w:val="00000A"/>
        </w:rPr>
        <w:t>4.1.</w:t>
      </w:r>
      <w:r>
        <w:rPr>
          <w:rFonts w:ascii="Times New Roman" w:hAnsi="Times New Roman" w:cs="Times New Roman"/>
          <w:color w:val="00000A"/>
        </w:rPr>
        <w:t xml:space="preserve"> A aquisição dar-se-á pela modalidade licitatória denominada pregão, em sua forma eletrônica, tendo como critério de julgamento e classificação das propostas, o menor preço por item, </w:t>
      </w:r>
      <w:r>
        <w:rPr>
          <w:rFonts w:ascii="Times New Roman" w:hAnsi="Times New Roman" w:cs="Times New Roman"/>
          <w:color w:val="00000A"/>
        </w:rPr>
        <w:t>observadas as especificações técnicas definidas no Anexo I deste Termo de Referência.</w:t>
      </w:r>
    </w:p>
    <w:p w:rsidR="00276727" w:rsidRDefault="00276727">
      <w:pPr>
        <w:pStyle w:val="Standard"/>
        <w:jc w:val="both"/>
        <w:rPr>
          <w:rFonts w:ascii="Times New Roman" w:hAnsi="Times New Roman" w:cs="Times New Roman"/>
          <w:color w:val="00000A"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626"/>
        </w:tabs>
        <w:spacing w:line="100" w:lineRule="atLeast"/>
        <w:ind w:left="426" w:hanging="426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5– DA DOTAÇÃO ORÇAMENTÁRIA</w:t>
      </w:r>
    </w:p>
    <w:p w:rsidR="00276727" w:rsidRDefault="00964923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A"/>
          <w:shd w:val="clear" w:color="auto" w:fill="FFFFFF"/>
        </w:rPr>
        <w:t>5.1.</w:t>
      </w:r>
      <w:r>
        <w:rPr>
          <w:rFonts w:ascii="Times New Roman" w:hAnsi="Times New Roman" w:cs="Times New Roman"/>
          <w:color w:val="00000A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A despesa correrá por conta dos créditos orçamentários destinados à Secretaria Municipal de Saúde, para o exercício de 2019. Pelo repasse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Fundo a Fundo do Ministério da Saúde na conta da Vigilância em Saúde, função programática: 10.305.0022.00, Elemento de Despesa 33.90.30.00 – Material de Consumo, 33.90.32.00 – Material, Bem ou Serviço para Distribuição Gratuita, na fonte: 0400-01-003.</w:t>
      </w:r>
    </w:p>
    <w:p w:rsidR="00276727" w:rsidRDefault="00276727">
      <w:pPr>
        <w:pStyle w:val="Standar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spacing w:line="100" w:lineRule="atLeast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6–</w:t>
      </w: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 xml:space="preserve"> DAS CONDIÇÕES DE FORNECIMENTO</w:t>
      </w:r>
    </w:p>
    <w:p w:rsidR="00276727" w:rsidRDefault="00964923">
      <w:pPr>
        <w:pStyle w:val="PargrafodaLista"/>
        <w:ind w:left="0"/>
        <w:jc w:val="both"/>
      </w:pPr>
      <w:proofErr w:type="gramStart"/>
      <w:r>
        <w:rPr>
          <w:b/>
          <w:bCs/>
        </w:rPr>
        <w:t>6.1</w:t>
      </w:r>
      <w:r>
        <w:rPr>
          <w:color w:val="000000"/>
        </w:rPr>
        <w:t xml:space="preserve">  Sempre</w:t>
      </w:r>
      <w:proofErr w:type="gramEnd"/>
      <w:r>
        <w:rPr>
          <w:color w:val="000000"/>
        </w:rPr>
        <w:t xml:space="preserve"> que julgar necessário o Órgão Contratante solicitará, durante a vigência da ARP, o fornecimento dos produtos registrados na quantidade necessária, mediante Nota de Empenho.</w:t>
      </w:r>
    </w:p>
    <w:p w:rsidR="00276727" w:rsidRDefault="00964923">
      <w:pPr>
        <w:pStyle w:val="PargrafodaLista"/>
        <w:ind w:left="0"/>
        <w:jc w:val="both"/>
      </w:pPr>
      <w:proofErr w:type="gramStart"/>
      <w:r>
        <w:rPr>
          <w:b/>
          <w:bCs/>
        </w:rPr>
        <w:t>6.2</w:t>
      </w:r>
      <w:r>
        <w:t xml:space="preserve">  </w:t>
      </w:r>
      <w:r>
        <w:rPr>
          <w:color w:val="000000"/>
        </w:rPr>
        <w:t>A</w:t>
      </w:r>
      <w:proofErr w:type="gramEnd"/>
      <w:r>
        <w:rPr>
          <w:color w:val="000000"/>
        </w:rPr>
        <w:t xml:space="preserve"> Contratante não </w:t>
      </w:r>
      <w:r>
        <w:t>estará</w:t>
      </w:r>
      <w:r>
        <w:rPr>
          <w:color w:val="000000"/>
        </w:rPr>
        <w:t xml:space="preserve"> obrigada a</w:t>
      </w:r>
      <w:r>
        <w:rPr>
          <w:color w:val="000000"/>
        </w:rPr>
        <w:t xml:space="preserve"> adquirir os bens registrados, contudo, ao fazê-lo, solicitará um percentual mínimo de 10% (dez por cento) do que se encontra registrado;</w:t>
      </w:r>
    </w:p>
    <w:p w:rsidR="00276727" w:rsidRDefault="00964923">
      <w:pPr>
        <w:pStyle w:val="PargrafodaLista"/>
        <w:ind w:left="0"/>
        <w:jc w:val="both"/>
      </w:pPr>
      <w:r>
        <w:rPr>
          <w:b/>
          <w:bCs/>
        </w:rPr>
        <w:t>6.3</w:t>
      </w:r>
      <w:r>
        <w:rPr>
          <w:color w:val="000000"/>
        </w:rPr>
        <w:t xml:space="preserve"> A Contratada deverá fornecer os produtos de acordo com a solicitação da Contratante, através de ordens de fornecim</w:t>
      </w:r>
      <w:r>
        <w:rPr>
          <w:color w:val="000000"/>
        </w:rPr>
        <w:t>ento, consubstanciadas em ofícios, que deverão conter data de expedição, quantidade pretendida, local e prazo para entrega, preços unitário e total, carimbo e assinatura do responsável pela requisição.</w:t>
      </w:r>
    </w:p>
    <w:p w:rsidR="00276727" w:rsidRDefault="00964923">
      <w:pPr>
        <w:pStyle w:val="PargrafodaLista"/>
        <w:ind w:left="0"/>
        <w:jc w:val="both"/>
      </w:pPr>
      <w:proofErr w:type="gramStart"/>
      <w:r>
        <w:rPr>
          <w:b/>
          <w:bCs/>
        </w:rPr>
        <w:t xml:space="preserve">6.4 </w:t>
      </w:r>
      <w:r>
        <w:rPr>
          <w:color w:val="000000"/>
        </w:rPr>
        <w:t xml:space="preserve"> O</w:t>
      </w:r>
      <w:proofErr w:type="gramEnd"/>
      <w:r>
        <w:rPr>
          <w:color w:val="000000"/>
        </w:rPr>
        <w:t xml:space="preserve"> prazo previsto para entrega deverá ser de até </w:t>
      </w:r>
      <w:r>
        <w:rPr>
          <w:color w:val="000000"/>
        </w:rPr>
        <w:t>15 (quinze) dias, contados do recebimento da Nota de Empenho/Ordem de Fornecimento (via e-mail ou correios) ou retirado na sede da Contratante. Vale ressaltar que o prazo de 15 (quinze) dias, justifica-se em processos de aquisição de medicamentos e correla</w:t>
      </w:r>
      <w:r>
        <w:rPr>
          <w:color w:val="000000"/>
        </w:rPr>
        <w:t>tos solicitados pela Coordenação Geral de Farmácia e Bioquímica desta Secretaria;</w:t>
      </w:r>
    </w:p>
    <w:p w:rsidR="00276727" w:rsidRDefault="00964923">
      <w:pPr>
        <w:pStyle w:val="PargrafodaLista"/>
        <w:ind w:left="0"/>
        <w:jc w:val="both"/>
      </w:pPr>
      <w:r>
        <w:rPr>
          <w:b/>
          <w:bCs/>
        </w:rPr>
        <w:t xml:space="preserve">6.5 </w:t>
      </w:r>
      <w:r>
        <w:rPr>
          <w:color w:val="000000"/>
        </w:rPr>
        <w:t xml:space="preserve">Os produtos requisitados </w:t>
      </w:r>
      <w:r>
        <w:t>deverão</w:t>
      </w:r>
      <w:r>
        <w:rPr>
          <w:color w:val="000000"/>
        </w:rPr>
        <w:t xml:space="preserve"> ser entregues acompanhados da documentação fiscal, junto com cópia da Nota de Empenho/Ordem de Fornecimento, na </w:t>
      </w:r>
      <w:r>
        <w:rPr>
          <w:b/>
          <w:color w:val="000000"/>
          <w:shd w:val="clear" w:color="auto" w:fill="FFFFFF"/>
        </w:rPr>
        <w:t xml:space="preserve">Central de Abastecimento </w:t>
      </w:r>
      <w:r>
        <w:rPr>
          <w:b/>
          <w:color w:val="000000"/>
          <w:shd w:val="clear" w:color="auto" w:fill="FFFFFF"/>
        </w:rPr>
        <w:t>Farmacêutico - CAF,</w:t>
      </w:r>
      <w:r>
        <w:rPr>
          <w:color w:val="000000"/>
          <w:shd w:val="clear" w:color="auto" w:fill="FFFFFF"/>
        </w:rPr>
        <w:t xml:space="preserve"> localizada na Avenida Juca Sampaio, 620, Barro Duro, CEP: 57.045-365, </w:t>
      </w:r>
      <w:proofErr w:type="spellStart"/>
      <w:r>
        <w:rPr>
          <w:color w:val="000000"/>
          <w:shd w:val="clear" w:color="auto" w:fill="FFFFFF"/>
        </w:rPr>
        <w:t>Maceió-</w:t>
      </w:r>
      <w:proofErr w:type="gramStart"/>
      <w:r>
        <w:rPr>
          <w:color w:val="000000"/>
          <w:shd w:val="clear" w:color="auto" w:fill="FFFFFF"/>
        </w:rPr>
        <w:t>AL</w:t>
      </w:r>
      <w:proofErr w:type="spellEnd"/>
      <w:r>
        <w:rPr>
          <w:color w:val="000000"/>
          <w:shd w:val="clear" w:color="auto" w:fill="FFFFFF"/>
        </w:rPr>
        <w:t>,  devendo</w:t>
      </w:r>
      <w:proofErr w:type="gramEnd"/>
      <w:r>
        <w:rPr>
          <w:color w:val="000000"/>
          <w:shd w:val="clear" w:color="auto" w:fill="FFFFFF"/>
        </w:rPr>
        <w:t xml:space="preserve"> agendar o horário da entrega, com 24 (vinte e quatro) horas de antecedência, através do telefone: (82) 3315-5352.</w:t>
      </w:r>
    </w:p>
    <w:p w:rsidR="00276727" w:rsidRDefault="00964923">
      <w:pPr>
        <w:pStyle w:val="PargrafodaLista"/>
        <w:ind w:left="0"/>
        <w:jc w:val="both"/>
      </w:pPr>
      <w:r>
        <w:rPr>
          <w:b/>
          <w:bCs/>
        </w:rPr>
        <w:t>6.6</w:t>
      </w:r>
      <w:r>
        <w:t xml:space="preserve"> </w:t>
      </w:r>
      <w:r>
        <w:rPr>
          <w:color w:val="000000"/>
        </w:rPr>
        <w:t xml:space="preserve">Os produtos deverão atender </w:t>
      </w:r>
      <w:r>
        <w:rPr>
          <w:color w:val="000000"/>
        </w:rPr>
        <w:t>aos dispositivos da Lei nº 8.078/90 (Código de Defesa do Consumidor) e às demais legislações pertinentes</w:t>
      </w:r>
    </w:p>
    <w:p w:rsidR="00276727" w:rsidRDefault="00964923">
      <w:pPr>
        <w:pStyle w:val="PargrafodaLista"/>
        <w:ind w:left="0"/>
        <w:jc w:val="both"/>
      </w:pPr>
      <w:r>
        <w:rPr>
          <w:b/>
          <w:bCs/>
        </w:rPr>
        <w:t>6.7</w:t>
      </w:r>
      <w:r>
        <w:rPr>
          <w:color w:val="000000"/>
        </w:rPr>
        <w:t xml:space="preserve"> Os produtos serão objeto </w:t>
      </w:r>
      <w:r>
        <w:t>de</w:t>
      </w:r>
      <w:r>
        <w:rPr>
          <w:color w:val="000000"/>
        </w:rPr>
        <w:t xml:space="preserve"> recebimento com prazo provisório de 05 (cinco) dias úteis e definitivo de 10 (dez) dias úteis, nos termos do art. 73, I</w:t>
      </w:r>
      <w:r>
        <w:rPr>
          <w:color w:val="000000"/>
        </w:rPr>
        <w:t>I “a” e “b”, da lei Federal nº 8.666/1993.</w:t>
      </w:r>
    </w:p>
    <w:p w:rsidR="00276727" w:rsidRDefault="00964923">
      <w:pPr>
        <w:pStyle w:val="PargrafodaLista"/>
        <w:ind w:left="0"/>
        <w:jc w:val="both"/>
      </w:pPr>
      <w:r>
        <w:rPr>
          <w:b/>
          <w:bCs/>
        </w:rPr>
        <w:t>6.8</w:t>
      </w:r>
      <w:r>
        <w:t xml:space="preserve"> </w:t>
      </w:r>
      <w:r>
        <w:rPr>
          <w:color w:val="000000"/>
        </w:rPr>
        <w:t xml:space="preserve">O ato de recebimento dos </w:t>
      </w:r>
      <w:r>
        <w:t>produtos</w:t>
      </w:r>
      <w:r>
        <w:rPr>
          <w:color w:val="000000"/>
        </w:rPr>
        <w:t xml:space="preserve"> não importa em sua aceitação. A critério da Contratante, os produtos fornecidos serão submetidos a verificação. Cabe à Contratada a substituição dos produtos que vierem a ser </w:t>
      </w:r>
      <w:r>
        <w:rPr>
          <w:color w:val="000000"/>
        </w:rPr>
        <w:t>recusados, no prazo máximo de 05 (cinco) dias úteis, contados da solicitação.</w:t>
      </w:r>
    </w:p>
    <w:p w:rsidR="00276727" w:rsidRDefault="00964923">
      <w:pPr>
        <w:pStyle w:val="PargrafodaLista"/>
        <w:ind w:left="0"/>
        <w:jc w:val="both"/>
      </w:pPr>
      <w:r>
        <w:rPr>
          <w:b/>
          <w:bCs/>
        </w:rPr>
        <w:t>6.9</w:t>
      </w:r>
      <w:r>
        <w:t xml:space="preserve"> A Contratante poderá se recusar a receber os produtos, caso estes estejam em desacordo com a proposta apresentada pela licitante vencedora, fato que será devidamente caracter</w:t>
      </w:r>
      <w:r>
        <w:t>izado e comunicado à empresa, sem que a esta caiba direito de indenização.</w:t>
      </w:r>
    </w:p>
    <w:p w:rsidR="00276727" w:rsidRDefault="00276727">
      <w:pPr>
        <w:pStyle w:val="PargrafodaLista"/>
        <w:ind w:left="0"/>
        <w:jc w:val="both"/>
      </w:pPr>
    </w:p>
    <w:p w:rsidR="00276727" w:rsidRDefault="00276727">
      <w:pPr>
        <w:pStyle w:val="PargrafodaLista"/>
        <w:ind w:left="0"/>
        <w:jc w:val="both"/>
      </w:pPr>
    </w:p>
    <w:p w:rsidR="00276727" w:rsidRDefault="00276727">
      <w:pPr>
        <w:pStyle w:val="PargrafodaLista"/>
        <w:ind w:left="0"/>
        <w:jc w:val="both"/>
      </w:pPr>
    </w:p>
    <w:p w:rsidR="00276727" w:rsidRDefault="00276727">
      <w:pPr>
        <w:pStyle w:val="PargrafodaLista"/>
        <w:ind w:left="0"/>
        <w:jc w:val="both"/>
      </w:pPr>
    </w:p>
    <w:p w:rsidR="00276727" w:rsidRDefault="00276727">
      <w:pPr>
        <w:pStyle w:val="PargrafodaLista"/>
        <w:ind w:left="0"/>
        <w:jc w:val="both"/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spacing w:line="100" w:lineRule="atLeast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7- DA HABILITAÇÃO TÉCNICA</w:t>
      </w:r>
    </w:p>
    <w:p w:rsidR="00276727" w:rsidRDefault="00964923">
      <w:pPr>
        <w:pStyle w:val="Standard"/>
        <w:jc w:val="both"/>
      </w:pPr>
      <w:r>
        <w:rPr>
          <w:rFonts w:ascii="Times New Roman" w:hAnsi="Times New Roman"/>
          <w:b/>
          <w:bCs/>
        </w:rPr>
        <w:t>7.1.</w:t>
      </w:r>
      <w:r>
        <w:rPr>
          <w:rFonts w:ascii="Times New Roman" w:hAnsi="Times New Roman"/>
        </w:rPr>
        <w:t xml:space="preserve"> Documentos que comprovem habilitação técnica da licitante para atendimento às exigências do objeto licitado:</w:t>
      </w:r>
    </w:p>
    <w:p w:rsidR="00276727" w:rsidRDefault="00964923">
      <w:pPr>
        <w:pStyle w:val="Standard"/>
        <w:jc w:val="both"/>
      </w:pPr>
      <w:r>
        <w:rPr>
          <w:rFonts w:ascii="Times New Roman" w:hAnsi="Times New Roman"/>
          <w:b/>
          <w:bCs/>
        </w:rPr>
        <w:t xml:space="preserve">7.2 </w:t>
      </w:r>
      <w:r>
        <w:rPr>
          <w:rFonts w:ascii="Times New Roman" w:hAnsi="Times New Roman"/>
        </w:rPr>
        <w:t xml:space="preserve">Atestados ou certidões </w:t>
      </w:r>
      <w:r>
        <w:rPr>
          <w:rFonts w:ascii="Times New Roman" w:hAnsi="Times New Roman"/>
        </w:rPr>
        <w:t>expedido(s) por pessoa jurídica de direito público ou privado, comprovando que a licitante já realizou fornecimento compatível com o objeto desta licitação. A comprovação deverá ser feita por meio de apresentação de documentos devidamente assinados, carimb</w:t>
      </w:r>
      <w:r>
        <w:rPr>
          <w:rFonts w:ascii="Times New Roman" w:hAnsi="Times New Roman"/>
        </w:rPr>
        <w:t>ados e em papel timbrado da empresa ou órgão que adquiriu os produtos.</w:t>
      </w:r>
    </w:p>
    <w:p w:rsidR="00276727" w:rsidRDefault="00276727">
      <w:pPr>
        <w:pStyle w:val="Standard"/>
        <w:jc w:val="both"/>
        <w:rPr>
          <w:rFonts w:ascii="Times New Roman" w:hAnsi="Times New Roman"/>
        </w:rPr>
      </w:pPr>
    </w:p>
    <w:p w:rsidR="00276727" w:rsidRDefault="00276727">
      <w:pPr>
        <w:pStyle w:val="Standard"/>
        <w:jc w:val="both"/>
        <w:rPr>
          <w:rFonts w:ascii="Times New Roman" w:hAnsi="Times New Roman"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626"/>
        </w:tabs>
        <w:spacing w:line="100" w:lineRule="atLeast"/>
        <w:ind w:left="426" w:hanging="426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8– DAS OBRIGAÇÕES</w:t>
      </w:r>
    </w:p>
    <w:p w:rsidR="00276727" w:rsidRDefault="00964923">
      <w:pPr>
        <w:pStyle w:val="PargrafodaLista"/>
        <w:ind w:left="0"/>
        <w:jc w:val="both"/>
        <w:rPr>
          <w:b/>
        </w:rPr>
      </w:pPr>
      <w:r>
        <w:rPr>
          <w:b/>
        </w:rPr>
        <w:t>8.1. DA CONTRATADA</w:t>
      </w:r>
    </w:p>
    <w:p w:rsidR="00276727" w:rsidRDefault="00964923">
      <w:pPr>
        <w:pStyle w:val="Standard"/>
        <w:numPr>
          <w:ilvl w:val="0"/>
          <w:numId w:val="6"/>
        </w:numPr>
        <w:spacing w:after="50"/>
        <w:ind w:left="426" w:hanging="142"/>
        <w:jc w:val="both"/>
      </w:pPr>
      <w:r>
        <w:rPr>
          <w:rFonts w:ascii="Times New Roman" w:hAnsi="Times New Roman"/>
        </w:rPr>
        <w:t>Assinar a ARP</w:t>
      </w:r>
      <w:r>
        <w:rPr>
          <w:rFonts w:ascii="Times New Roman" w:hAnsi="Times New Roman"/>
          <w:bCs/>
        </w:rPr>
        <w:t xml:space="preserve"> em até 05 (cinco) dias contados da convocação pela Contratante.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Atender a todos os pedidos efetuados durante a vigência da Ata no li</w:t>
      </w:r>
      <w:r>
        <w:rPr>
          <w:rFonts w:ascii="Times New Roman" w:hAnsi="Times New Roman"/>
          <w:bCs/>
        </w:rPr>
        <w:t>mite do quantitativo registrado.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Promover a entrega do objeto no prazo, local e condições propostas na licitação e na Ata, sem qualquer ônus adicional para a Contratante;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</w:pPr>
      <w:r>
        <w:rPr>
          <w:rFonts w:ascii="Times New Roman" w:eastAsia="Calibri" w:hAnsi="Times New Roman"/>
        </w:rPr>
        <w:t>Comunicar</w:t>
      </w:r>
      <w:r>
        <w:rPr>
          <w:rFonts w:ascii="Times New Roman" w:hAnsi="Times New Roman"/>
          <w:color w:val="000000"/>
        </w:rPr>
        <w:t xml:space="preserve">, por escrito, a ocorrência de qualquer anormalidade de caráter urgente que </w:t>
      </w:r>
      <w:r>
        <w:rPr>
          <w:rFonts w:ascii="Times New Roman" w:hAnsi="Times New Roman"/>
          <w:color w:val="000000"/>
        </w:rPr>
        <w:t>impossibilite o seu cumprimento, tão logo seja verificada, e prestar os esclarecimentos que julgar necessários à requisitante até 24 (vinte e quatro) horas antes do prazo previsto para a entrega.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Responsabilizar-se pelos encargos fiscais, frete, taxas </w:t>
      </w:r>
      <w:r>
        <w:rPr>
          <w:rFonts w:ascii="Times New Roman" w:hAnsi="Times New Roman"/>
          <w:bCs/>
        </w:rPr>
        <w:t>comerciais, tributos e contribuições que incidirem direta ou indiretamente, e demais ônus referentes ao fornecimento do produto.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Providenciar a imediata substituição das deficiências apontadas pela fiscalização na execução da Contratação.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Substituir, às su</w:t>
      </w:r>
      <w:r>
        <w:rPr>
          <w:rFonts w:ascii="Times New Roman" w:hAnsi="Times New Roman"/>
          <w:bCs/>
        </w:rPr>
        <w:t>as expensas, imediatamente, no total, ou em parte, os produtos que vierem a ser recusados, quando se verificarem vícios, defeitos ou incorreções (artigo 69, Lei Federal n.º 8.666/93).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Responder por quaisquer danos pessoais ou materiais causados, quando car</w:t>
      </w:r>
      <w:r>
        <w:rPr>
          <w:rFonts w:ascii="Times New Roman" w:hAnsi="Times New Roman"/>
          <w:bCs/>
        </w:rPr>
        <w:t>acterizada a má fé, o dolo, a negligência, imprudência ou a imperícia profissional, durante a entrega dos produtos.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Manter, durante a execução da contratação, as condições da habilitação e qualificação exigidas na licitação.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Ressarcir a Administração Públi</w:t>
      </w:r>
      <w:r>
        <w:rPr>
          <w:rFonts w:ascii="Times New Roman" w:hAnsi="Times New Roman"/>
          <w:bCs/>
        </w:rPr>
        <w:t>ca do equivalente a todos os danos decorrentes de paralisação ou interrupção do objeto contratado, exceto quando isso ocorrer por exigência da Contratante ou ainda por caso fortuito ou força maior.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Responsabilizar-se por todos e quaisquer danos e/ou prejuí</w:t>
      </w:r>
      <w:r>
        <w:rPr>
          <w:rFonts w:ascii="Times New Roman" w:hAnsi="Times New Roman"/>
          <w:bCs/>
        </w:rPr>
        <w:t>zos que vier a causar à Contratante ou a terceiros, tendo como agente a Contratada, na pessoa de prepostos ou estranhos.</w:t>
      </w:r>
    </w:p>
    <w:p w:rsidR="00276727" w:rsidRDefault="00964923">
      <w:pPr>
        <w:pStyle w:val="Standard"/>
        <w:numPr>
          <w:ilvl w:val="0"/>
          <w:numId w:val="3"/>
        </w:numPr>
        <w:spacing w:after="50"/>
        <w:ind w:left="426" w:hanging="142"/>
        <w:jc w:val="both"/>
      </w:pPr>
      <w:r>
        <w:rPr>
          <w:rFonts w:ascii="Times New Roman" w:hAnsi="Times New Roman"/>
          <w:bCs/>
        </w:rPr>
        <w:t xml:space="preserve">Responsabilizar-se por quaisquer multas ou despesas de qualquer natureza impostas pela Contratante em decorrência de descumprimento de </w:t>
      </w:r>
      <w:r>
        <w:rPr>
          <w:rFonts w:ascii="Times New Roman" w:hAnsi="Times New Roman"/>
          <w:bCs/>
        </w:rPr>
        <w:t>qualquer cláusula ou condição do instrumento contratual ou instrumento equivalente, dispositivo legal ou regulamento, por sua parte, inclusive os horários de entrega</w:t>
      </w:r>
      <w:r>
        <w:rPr>
          <w:rFonts w:ascii="Times New Roman" w:hAnsi="Times New Roman"/>
        </w:rPr>
        <w:t>.</w:t>
      </w:r>
    </w:p>
    <w:p w:rsidR="00276727" w:rsidRDefault="00276727">
      <w:pPr>
        <w:pStyle w:val="Standard"/>
        <w:spacing w:after="50"/>
        <w:ind w:left="426" w:hanging="142"/>
        <w:jc w:val="both"/>
        <w:rPr>
          <w:rFonts w:ascii="Times New Roman" w:hAnsi="Times New Roman"/>
        </w:rPr>
      </w:pPr>
    </w:p>
    <w:p w:rsidR="00276727" w:rsidRDefault="00964923">
      <w:pPr>
        <w:pStyle w:val="PargrafodaLista"/>
        <w:ind w:left="426" w:hanging="426"/>
        <w:jc w:val="both"/>
        <w:rPr>
          <w:b/>
        </w:rPr>
      </w:pPr>
      <w:r>
        <w:rPr>
          <w:b/>
        </w:rPr>
        <w:t>8.2. DA CONTRATANTE:</w:t>
      </w:r>
    </w:p>
    <w:p w:rsidR="00276727" w:rsidRDefault="00964923">
      <w:pPr>
        <w:pStyle w:val="Standard"/>
        <w:numPr>
          <w:ilvl w:val="0"/>
          <w:numId w:val="7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Convocar a adjudicatária, dentro do prazo de eficácia de sua propos</w:t>
      </w:r>
      <w:r>
        <w:rPr>
          <w:rFonts w:ascii="Times New Roman" w:hAnsi="Times New Roman"/>
          <w:bCs/>
        </w:rPr>
        <w:t>ta, para assinatura da ARP;</w:t>
      </w:r>
    </w:p>
    <w:p w:rsidR="00276727" w:rsidRDefault="00964923">
      <w:pPr>
        <w:pStyle w:val="Standard"/>
        <w:numPr>
          <w:ilvl w:val="0"/>
          <w:numId w:val="4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Publicar o extrato da Ata de Registro de Preços na forma da Lei.</w:t>
      </w:r>
    </w:p>
    <w:p w:rsidR="00276727" w:rsidRDefault="00964923">
      <w:pPr>
        <w:pStyle w:val="Standard"/>
        <w:numPr>
          <w:ilvl w:val="0"/>
          <w:numId w:val="4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Emitir Nota de Empenho/Ordem de Fornecimento;</w:t>
      </w:r>
    </w:p>
    <w:p w:rsidR="00276727" w:rsidRDefault="00964923">
      <w:pPr>
        <w:pStyle w:val="Standard"/>
        <w:numPr>
          <w:ilvl w:val="0"/>
          <w:numId w:val="4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Designar o Gestor da ARP e Fiscal da Contratação;</w:t>
      </w:r>
    </w:p>
    <w:p w:rsidR="00276727" w:rsidRDefault="00964923">
      <w:pPr>
        <w:pStyle w:val="Standard"/>
        <w:numPr>
          <w:ilvl w:val="0"/>
          <w:numId w:val="4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Acompanhar e fiscalizar a execução do objeto, atestar as Notas Fisc</w:t>
      </w:r>
      <w:r>
        <w:rPr>
          <w:rFonts w:ascii="Times New Roman" w:hAnsi="Times New Roman"/>
          <w:bCs/>
        </w:rPr>
        <w:t>ais e efetuar o pagamento;</w:t>
      </w:r>
    </w:p>
    <w:p w:rsidR="00276727" w:rsidRDefault="00964923">
      <w:pPr>
        <w:pStyle w:val="Standard"/>
        <w:numPr>
          <w:ilvl w:val="0"/>
          <w:numId w:val="4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Solicitar, durante a vigência da Ata de Registro de Preços, o fornecimento dos produtos, mediante Nota de Empenho/Ordem de Fornecimento;</w:t>
      </w:r>
    </w:p>
    <w:p w:rsidR="00276727" w:rsidRDefault="00964923">
      <w:pPr>
        <w:pStyle w:val="Standard"/>
        <w:numPr>
          <w:ilvl w:val="0"/>
          <w:numId w:val="4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Comunicar, imediatamente, as irregularidades verificadas na execução da contratação;</w:t>
      </w:r>
    </w:p>
    <w:p w:rsidR="00276727" w:rsidRDefault="00964923">
      <w:pPr>
        <w:pStyle w:val="Standard"/>
        <w:numPr>
          <w:ilvl w:val="0"/>
          <w:numId w:val="4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Recusar</w:t>
      </w:r>
      <w:r>
        <w:rPr>
          <w:rFonts w:ascii="Times New Roman" w:hAnsi="Times New Roman"/>
          <w:bCs/>
        </w:rPr>
        <w:t>-se a receber os produtos licitados, caso estes estejam em desacordo com a proposta apresentada pela Contratada, fato que será devidamente caracterizado e comunicado à empresa, sem que a esta caiba direito de indenização;</w:t>
      </w:r>
    </w:p>
    <w:p w:rsidR="00276727" w:rsidRDefault="00964923">
      <w:pPr>
        <w:pStyle w:val="Standard"/>
        <w:numPr>
          <w:ilvl w:val="0"/>
          <w:numId w:val="4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Observar para que, durante a </w:t>
      </w:r>
      <w:r>
        <w:rPr>
          <w:rFonts w:ascii="Times New Roman" w:hAnsi="Times New Roman"/>
          <w:bCs/>
        </w:rPr>
        <w:t>vigência da Ata de Registro de Preços, sejam mantidas por parte da Contratada todas as condições de habilitação e qualificação exigidas na licitação, bem assim, a compatibilidade com as obrigações assumidas;</w:t>
      </w:r>
    </w:p>
    <w:p w:rsidR="00276727" w:rsidRDefault="00964923">
      <w:pPr>
        <w:pStyle w:val="Standard"/>
        <w:numPr>
          <w:ilvl w:val="0"/>
          <w:numId w:val="4"/>
        </w:numPr>
        <w:spacing w:after="50"/>
        <w:ind w:left="426" w:hanging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Aplicar à Contratada as penalidades regulamentar</w:t>
      </w:r>
      <w:r>
        <w:rPr>
          <w:rFonts w:ascii="Times New Roman" w:hAnsi="Times New Roman"/>
          <w:bCs/>
        </w:rPr>
        <w:t>es contratuais.</w:t>
      </w:r>
    </w:p>
    <w:p w:rsidR="00276727" w:rsidRDefault="00276727">
      <w:pPr>
        <w:pStyle w:val="Standard"/>
        <w:spacing w:after="50"/>
        <w:ind w:left="426" w:hanging="142"/>
        <w:jc w:val="both"/>
        <w:rPr>
          <w:rFonts w:ascii="Times New Roman" w:hAnsi="Times New Roman"/>
          <w:bCs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spacing w:after="50" w:line="100" w:lineRule="atLeast"/>
        <w:ind w:hanging="170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9– DO PAGAMENTO</w:t>
      </w:r>
    </w:p>
    <w:p w:rsidR="00276727" w:rsidRDefault="00964923">
      <w:pPr>
        <w:pStyle w:val="PargrafodaLista"/>
        <w:spacing w:after="60"/>
        <w:ind w:left="0"/>
        <w:jc w:val="both"/>
      </w:pPr>
      <w:r>
        <w:rPr>
          <w:b/>
          <w:bCs/>
        </w:rPr>
        <w:t>9.1.</w:t>
      </w:r>
      <w:r>
        <w:rPr>
          <w:color w:val="000000"/>
        </w:rPr>
        <w:t xml:space="preserve"> </w:t>
      </w:r>
      <w:r>
        <w:t xml:space="preserve">O pagamento será efetuado pela Contratante, de acordo com o quantitativo efetivamente fornecido, através de depósito bancário em </w:t>
      </w:r>
      <w:proofErr w:type="spellStart"/>
      <w:r>
        <w:t>conta-corrente</w:t>
      </w:r>
      <w:proofErr w:type="spellEnd"/>
      <w:r>
        <w:t xml:space="preserve"> fornecida pela contratada, em até 30 (trinta) dias, contados da apresentaç</w:t>
      </w:r>
      <w:r>
        <w:t>ão de requerimento, nota fiscal, recibo e certidões necessárias, devidamente analisadas e atestadas pelo servidor designado pela Contratante.</w:t>
      </w:r>
    </w:p>
    <w:p w:rsidR="00276727" w:rsidRDefault="00964923">
      <w:pPr>
        <w:pStyle w:val="PargrafodaLista"/>
        <w:spacing w:after="60"/>
        <w:ind w:left="0"/>
        <w:jc w:val="both"/>
      </w:pPr>
      <w:r>
        <w:rPr>
          <w:b/>
          <w:bCs/>
        </w:rPr>
        <w:t>9.2.</w:t>
      </w:r>
      <w:r>
        <w:t xml:space="preserve"> Havendo erro na Fatura/Nota Fiscal/Recibo, ou outra circunstância que desaprove a liquidação, o pagamento ser</w:t>
      </w:r>
      <w:r>
        <w:t>á sustado, até que sejam tomadas as medidas saneadoras necessárias.</w:t>
      </w:r>
    </w:p>
    <w:p w:rsidR="00276727" w:rsidRDefault="00276727">
      <w:pPr>
        <w:pStyle w:val="PargrafodaLista"/>
        <w:spacing w:after="60"/>
        <w:ind w:left="0"/>
        <w:jc w:val="both"/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spacing w:after="50" w:line="100" w:lineRule="atLeast"/>
        <w:ind w:hanging="170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10– DA ATA DE REGISTRO DE PREÇOS</w:t>
      </w:r>
    </w:p>
    <w:p w:rsidR="00276727" w:rsidRDefault="00964923">
      <w:pPr>
        <w:pStyle w:val="PargrafodaLista"/>
        <w:autoSpaceDE w:val="0"/>
        <w:spacing w:after="50"/>
        <w:ind w:left="0" w:hanging="340"/>
        <w:jc w:val="both"/>
      </w:pPr>
      <w:r>
        <w:rPr>
          <w:b/>
          <w:bCs/>
        </w:rPr>
        <w:t>10.1.</w:t>
      </w:r>
      <w:r>
        <w:t xml:space="preserve"> O prazo de validade da ARP será de 12 (doze) meses, contados a partir da sua assinatura, tendo sua </w:t>
      </w:r>
      <w:r>
        <w:rPr>
          <w:bCs/>
        </w:rPr>
        <w:t>eficácia</w:t>
      </w:r>
      <w:r>
        <w:t xml:space="preserve"> a partir da data de publicação do seu ex</w:t>
      </w:r>
      <w:r>
        <w:t>trato no Diário Oficial do Município.</w:t>
      </w:r>
    </w:p>
    <w:p w:rsidR="00276727" w:rsidRDefault="00964923">
      <w:pPr>
        <w:pStyle w:val="PargrafodaLista"/>
        <w:autoSpaceDE w:val="0"/>
        <w:spacing w:after="50"/>
        <w:ind w:left="0" w:hanging="340"/>
        <w:jc w:val="both"/>
      </w:pPr>
      <w:r>
        <w:rPr>
          <w:b/>
          <w:bCs/>
        </w:rPr>
        <w:t>10.2.</w:t>
      </w:r>
      <w:r>
        <w:t xml:space="preserve"> A gestão da ARP caberá à Comissão de Acompanhamento de Processos – CAP da Secretaria Municipal de Saúde de Maceió, situada na Rua Cabral Dias, 569, Centro, Maceió/AL, CEP: 57.020-250, telefone (82) 3315-5108;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10.</w:t>
      </w:r>
      <w:r>
        <w:rPr>
          <w:b/>
          <w:bCs/>
        </w:rPr>
        <w:t>3.</w:t>
      </w:r>
      <w:r>
        <w:rPr>
          <w:bCs/>
        </w:rPr>
        <w:t xml:space="preserve"> Caberá</w:t>
      </w:r>
      <w:r>
        <w:t xml:space="preserve"> ao Gerenciador da Ata realizar, periodicamente, pesquisa de mercado para comprovação da vantajosidade dos preços registrados.</w:t>
      </w:r>
    </w:p>
    <w:p w:rsidR="00276727" w:rsidRDefault="00276727">
      <w:pPr>
        <w:pStyle w:val="PargrafodaLista"/>
        <w:autoSpaceDE w:val="0"/>
        <w:spacing w:after="50"/>
        <w:ind w:left="0"/>
        <w:jc w:val="both"/>
      </w:pPr>
    </w:p>
    <w:p w:rsidR="00276727" w:rsidRDefault="00276727">
      <w:pPr>
        <w:pStyle w:val="PargrafodaLista"/>
        <w:autoSpaceDE w:val="0"/>
        <w:spacing w:after="50"/>
        <w:ind w:left="0"/>
        <w:jc w:val="both"/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autoSpaceDE w:val="0"/>
        <w:spacing w:after="50" w:line="100" w:lineRule="atLeast"/>
        <w:ind w:hanging="170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11– DA CONTRATAÇÃO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11.1.</w:t>
      </w:r>
      <w:r>
        <w:rPr>
          <w:bCs/>
        </w:rPr>
        <w:t xml:space="preserve"> O instrumento de Contrato decorrente da Ata será substituído por </w:t>
      </w:r>
      <w:r>
        <w:rPr>
          <w:b/>
          <w:bCs/>
          <w:u w:val="single"/>
        </w:rPr>
        <w:t>Nota de Empenho de Despesa</w:t>
      </w:r>
      <w:r>
        <w:rPr>
          <w:bCs/>
        </w:rPr>
        <w:t xml:space="preserve">, </w:t>
      </w:r>
      <w:r>
        <w:rPr>
          <w:bCs/>
        </w:rPr>
        <w:t>conforme previsão do Art. 62 da lei 8.666/93.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11.2.</w:t>
      </w:r>
      <w:r>
        <w:rPr>
          <w:bCs/>
        </w:rPr>
        <w:t xml:space="preserve"> O prazo para o recebimento da Nota de Empenho de Despesa será de no máximo 05 (cinco) dias, contados da convocação para a sua formalização, podendo ser prorrogada uma só vez, por igual período, nas situaç</w:t>
      </w:r>
      <w:r>
        <w:rPr>
          <w:bCs/>
        </w:rPr>
        <w:t>ões previstas no § 1º do art. 64 da lei nº. 8.666/93, sob pena de decair o direito à contratação, sem prejuízo das sanções previstas no Art. 81 da mesma lei.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11.3.</w:t>
      </w:r>
      <w:r>
        <w:rPr>
          <w:bCs/>
        </w:rPr>
        <w:t xml:space="preserve"> Decorridos os prazos acima citados e, não tendo a empresa vencedora comparecido ao chamament</w:t>
      </w:r>
      <w:r>
        <w:rPr>
          <w:bCs/>
        </w:rPr>
        <w:t xml:space="preserve">o, perderá o direito a contratação independentemente de sujeitar-se às penalidades do art. 7º da Lei Federal nº. 10.520/2002 e autoriza a Contratante a convocar os licitantes remanescentes, na </w:t>
      </w:r>
      <w:r>
        <w:rPr>
          <w:bCs/>
        </w:rPr>
        <w:lastRenderedPageBreak/>
        <w:t>ordem de classificação da ata, para fazê-lo em igual prazo e na</w:t>
      </w:r>
      <w:r>
        <w:rPr>
          <w:bCs/>
        </w:rPr>
        <w:t>s mesmas condições propostas pelo primeiro classificado.</w:t>
      </w:r>
    </w:p>
    <w:p w:rsidR="00276727" w:rsidRDefault="00276727">
      <w:pPr>
        <w:pStyle w:val="PargrafodaLista"/>
        <w:autoSpaceDE w:val="0"/>
        <w:spacing w:after="50"/>
        <w:ind w:left="0"/>
        <w:jc w:val="both"/>
        <w:rPr>
          <w:bCs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autoSpaceDE w:val="0"/>
        <w:spacing w:after="50" w:line="100" w:lineRule="atLeast"/>
        <w:ind w:hanging="170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12– DO ACOMPANHAMENTO E FISCALIZAÇÃO DA CONTRATAÇÃO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12.1.</w:t>
      </w:r>
      <w:r>
        <w:t xml:space="preserve"> A </w:t>
      </w:r>
      <w:r>
        <w:rPr>
          <w:bCs/>
        </w:rPr>
        <w:t>contratação</w:t>
      </w:r>
      <w:r>
        <w:t xml:space="preserve"> será acompanhada e fiscalizada pela </w:t>
      </w:r>
      <w:r>
        <w:rPr>
          <w:b/>
          <w:bCs/>
        </w:rPr>
        <w:t>Diretoria de Vigilância em Saúde.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12.2.</w:t>
      </w:r>
      <w:r>
        <w:t xml:space="preserve"> O gestor da contratação terá, entre outras, as seg</w:t>
      </w:r>
      <w:r>
        <w:t>uintes atribuições: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12.2.1.</w:t>
      </w:r>
      <w:r>
        <w:t xml:space="preserve"> </w:t>
      </w:r>
      <w:proofErr w:type="gramStart"/>
      <w:r>
        <w:t>expedir</w:t>
      </w:r>
      <w:proofErr w:type="gramEnd"/>
      <w:r>
        <w:t xml:space="preserve"> ordens de fornecimento;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12.2.2</w:t>
      </w:r>
      <w:r>
        <w:t xml:space="preserve">. </w:t>
      </w:r>
      <w:proofErr w:type="gramStart"/>
      <w:r>
        <w:t>proceder</w:t>
      </w:r>
      <w:proofErr w:type="gramEnd"/>
      <w:r>
        <w:t xml:space="preserve"> ao acompanhamento técnico da entrega;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12.2.3.</w:t>
      </w:r>
      <w:r>
        <w:t xml:space="preserve"> </w:t>
      </w:r>
      <w:proofErr w:type="gramStart"/>
      <w:r>
        <w:t>comunicar</w:t>
      </w:r>
      <w:proofErr w:type="gramEnd"/>
      <w:r>
        <w:t xml:space="preserve"> à Contratada o descumprimento do contrato e indicar os procedimentos necessários ao seu correto cumprimento;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12.2.4.</w:t>
      </w:r>
      <w:r>
        <w:t xml:space="preserve"> </w:t>
      </w:r>
      <w:proofErr w:type="gramStart"/>
      <w:r>
        <w:t>solici</w:t>
      </w:r>
      <w:r>
        <w:t>tar</w:t>
      </w:r>
      <w:proofErr w:type="gramEnd"/>
      <w:r>
        <w:t xml:space="preserve"> à Administração a aplicação de penalidades por descumprimento de cláusula contratual;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12.2.5.</w:t>
      </w:r>
      <w:r>
        <w:t xml:space="preserve"> </w:t>
      </w:r>
      <w:proofErr w:type="gramStart"/>
      <w:r>
        <w:t>fornecer</w:t>
      </w:r>
      <w:proofErr w:type="gramEnd"/>
      <w:r>
        <w:t xml:space="preserve"> atestados de capacidade técnica quando solicitado, </w:t>
      </w:r>
      <w:r>
        <w:rPr>
          <w:color w:val="000000"/>
        </w:rPr>
        <w:t>em conjunto com o Gestor da Pasta</w:t>
      </w:r>
      <w:r>
        <w:rPr>
          <w:color w:val="548DD4"/>
        </w:rPr>
        <w:t xml:space="preserve">, </w:t>
      </w:r>
      <w:r>
        <w:t>desde que atendidas às obrigações contratuais;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12.2.6.</w:t>
      </w:r>
      <w:r>
        <w:t xml:space="preserve"> </w:t>
      </w:r>
      <w:proofErr w:type="gramStart"/>
      <w:r>
        <w:t>atestar</w:t>
      </w:r>
      <w:proofErr w:type="gramEnd"/>
      <w:r>
        <w:t xml:space="preserve"> </w:t>
      </w:r>
      <w:r>
        <w:t>as notas fiscais de fornecimento para efeito de pagamentos;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12.2.7.</w:t>
      </w:r>
      <w:r>
        <w:t xml:space="preserve"> </w:t>
      </w:r>
      <w:proofErr w:type="gramStart"/>
      <w:r>
        <w:t>recusar</w:t>
      </w:r>
      <w:proofErr w:type="gramEnd"/>
      <w:r>
        <w:t xml:space="preserve"> o objeto que for entregue fora das especificações contidas neste Termo de Referência ou que forem entregues em quantidades divergentes daquelas constantes na ordem de entrega;</w:t>
      </w:r>
    </w:p>
    <w:p w:rsidR="00276727" w:rsidRDefault="00964923">
      <w:pPr>
        <w:pStyle w:val="PargrafodaLista"/>
        <w:tabs>
          <w:tab w:val="left" w:pos="284"/>
        </w:tabs>
        <w:autoSpaceDE w:val="0"/>
        <w:spacing w:after="50"/>
        <w:ind w:left="0"/>
        <w:jc w:val="both"/>
      </w:pPr>
      <w:r>
        <w:rPr>
          <w:b/>
          <w:bCs/>
        </w:rPr>
        <w:t>12.2</w:t>
      </w:r>
      <w:r>
        <w:rPr>
          <w:b/>
          <w:bCs/>
        </w:rPr>
        <w:t>.8.</w:t>
      </w:r>
      <w:r>
        <w:t xml:space="preserve"> </w:t>
      </w:r>
      <w:proofErr w:type="gramStart"/>
      <w:r>
        <w:t>solicitar</w:t>
      </w:r>
      <w:proofErr w:type="gramEnd"/>
      <w:r>
        <w:t xml:space="preserve"> à Contratada e a seu preposto todas as providências necessárias ao bom e fiel cumprimento das obrigações.</w:t>
      </w:r>
    </w:p>
    <w:p w:rsidR="00276727" w:rsidRDefault="00276727">
      <w:pPr>
        <w:pStyle w:val="PargrafodaLista"/>
        <w:tabs>
          <w:tab w:val="left" w:pos="284"/>
        </w:tabs>
        <w:autoSpaceDE w:val="0"/>
        <w:spacing w:after="50"/>
        <w:ind w:left="0"/>
        <w:jc w:val="both"/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autoSpaceDE w:val="0"/>
        <w:spacing w:line="100" w:lineRule="atLeast"/>
        <w:ind w:hanging="170"/>
        <w:jc w:val="both"/>
      </w:pPr>
      <w:r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t>13– DO CANCELAMENTO DOS PREÇOS REGISTRADOS</w:t>
      </w:r>
    </w:p>
    <w:p w:rsidR="00276727" w:rsidRDefault="00964923">
      <w:pPr>
        <w:pStyle w:val="Standard"/>
        <w:tabs>
          <w:tab w:val="left" w:pos="567"/>
        </w:tabs>
        <w:ind w:hanging="340"/>
      </w:pPr>
      <w:r>
        <w:rPr>
          <w:rFonts w:ascii="Times New Roman" w:hAnsi="Times New Roman"/>
          <w:b/>
          <w:bCs/>
        </w:rPr>
        <w:t xml:space="preserve">13.1. </w:t>
      </w:r>
      <w:r>
        <w:rPr>
          <w:rFonts w:ascii="Times New Roman" w:hAnsi="Times New Roman"/>
        </w:rPr>
        <w:t>O registro do fornecedor será cancelado quando:</w:t>
      </w:r>
    </w:p>
    <w:p w:rsidR="00276727" w:rsidRDefault="00964923">
      <w:pPr>
        <w:pStyle w:val="Standard"/>
        <w:tabs>
          <w:tab w:val="left" w:pos="567"/>
        </w:tabs>
        <w:ind w:hanging="340"/>
      </w:pPr>
      <w:r>
        <w:rPr>
          <w:rFonts w:ascii="Times New Roman" w:hAnsi="Times New Roman"/>
          <w:b/>
          <w:bCs/>
        </w:rPr>
        <w:t>13.1.1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descumprir</w:t>
      </w:r>
      <w:proofErr w:type="gramEnd"/>
      <w:r>
        <w:rPr>
          <w:rFonts w:ascii="Times New Roman" w:hAnsi="Times New Roman"/>
        </w:rPr>
        <w:t xml:space="preserve"> as condições da ata</w:t>
      </w:r>
      <w:r>
        <w:rPr>
          <w:rFonts w:ascii="Times New Roman" w:hAnsi="Times New Roman"/>
        </w:rPr>
        <w:t xml:space="preserve"> de registro de preços;</w:t>
      </w:r>
    </w:p>
    <w:p w:rsidR="00276727" w:rsidRDefault="00964923">
      <w:pPr>
        <w:pStyle w:val="Standard"/>
        <w:tabs>
          <w:tab w:val="left" w:pos="567"/>
        </w:tabs>
        <w:ind w:hanging="340"/>
      </w:pPr>
      <w:r>
        <w:rPr>
          <w:rFonts w:ascii="Times New Roman" w:hAnsi="Times New Roman"/>
          <w:b/>
          <w:bCs/>
        </w:rPr>
        <w:t>13.1.2.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não</w:t>
      </w:r>
      <w:proofErr w:type="gramEnd"/>
      <w:r>
        <w:rPr>
          <w:rFonts w:ascii="Times New Roman" w:hAnsi="Times New Roman"/>
        </w:rPr>
        <w:t xml:space="preserve"> retirar a nota de empenho ou instrumento equivalente no prazo estabelecido pela Administração, sem justificativa aceitável;</w:t>
      </w:r>
    </w:p>
    <w:p w:rsidR="00276727" w:rsidRDefault="00964923">
      <w:pPr>
        <w:pStyle w:val="Standard"/>
        <w:tabs>
          <w:tab w:val="left" w:pos="567"/>
        </w:tabs>
        <w:ind w:hanging="340"/>
      </w:pPr>
      <w:r>
        <w:rPr>
          <w:rFonts w:ascii="Times New Roman" w:hAnsi="Times New Roman"/>
          <w:b/>
          <w:bCs/>
        </w:rPr>
        <w:t>13.1.3.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não</w:t>
      </w:r>
      <w:proofErr w:type="gramEnd"/>
      <w:r>
        <w:rPr>
          <w:rFonts w:ascii="Times New Roman" w:hAnsi="Times New Roman"/>
        </w:rPr>
        <w:t xml:space="preserve"> aceitar reduzir o seu preço registrado, na hipótese deste se tornar superior àqueles</w:t>
      </w:r>
      <w:r>
        <w:rPr>
          <w:rFonts w:ascii="Times New Roman" w:hAnsi="Times New Roman"/>
        </w:rPr>
        <w:t xml:space="preserve"> praticados no mercado; ou</w:t>
      </w:r>
    </w:p>
    <w:p w:rsidR="00276727" w:rsidRDefault="00964923">
      <w:pPr>
        <w:pStyle w:val="Standard"/>
        <w:tabs>
          <w:tab w:val="left" w:pos="567"/>
        </w:tabs>
        <w:ind w:hanging="340"/>
      </w:pPr>
      <w:r>
        <w:rPr>
          <w:rFonts w:ascii="Times New Roman" w:hAnsi="Times New Roman"/>
          <w:b/>
          <w:bCs/>
        </w:rPr>
        <w:t>13.1.4.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sofrer</w:t>
      </w:r>
      <w:proofErr w:type="gramEnd"/>
      <w:r>
        <w:rPr>
          <w:rFonts w:ascii="Times New Roman" w:hAnsi="Times New Roman"/>
        </w:rPr>
        <w:t xml:space="preserve"> sanção prevista nos incisos III ou IV do caput do art. 87 da Lei n.º 8.666, de 1993, ou no art. 7º da Lei n.º 10.520, de 2002.</w:t>
      </w:r>
    </w:p>
    <w:p w:rsidR="00276727" w:rsidRDefault="00964923">
      <w:pPr>
        <w:pStyle w:val="Standard"/>
        <w:tabs>
          <w:tab w:val="left" w:pos="567"/>
        </w:tabs>
        <w:ind w:hanging="340"/>
      </w:pPr>
      <w:r>
        <w:rPr>
          <w:rFonts w:ascii="Times New Roman" w:hAnsi="Times New Roman"/>
          <w:b/>
          <w:bCs/>
        </w:rPr>
        <w:t>13.2.</w:t>
      </w:r>
      <w:r>
        <w:rPr>
          <w:rFonts w:ascii="Times New Roman" w:hAnsi="Times New Roman"/>
        </w:rPr>
        <w:t xml:space="preserve"> O cancelamento do registro de preços poderá ocorrer por fato superveniente, </w:t>
      </w:r>
      <w:r>
        <w:rPr>
          <w:rFonts w:ascii="Times New Roman" w:hAnsi="Times New Roman"/>
        </w:rPr>
        <w:t>decorrente de caso fortuito ou força maior, que prejudique o cumprimento da ata, devidamente comprovados e justificados:</w:t>
      </w:r>
    </w:p>
    <w:p w:rsidR="00276727" w:rsidRDefault="00964923">
      <w:pPr>
        <w:pStyle w:val="Standard"/>
        <w:tabs>
          <w:tab w:val="left" w:pos="567"/>
        </w:tabs>
        <w:ind w:hanging="340"/>
      </w:pPr>
      <w:r>
        <w:rPr>
          <w:rFonts w:ascii="Times New Roman" w:hAnsi="Times New Roman"/>
          <w:b/>
          <w:bCs/>
        </w:rPr>
        <w:t xml:space="preserve">13.2.1. </w:t>
      </w:r>
      <w:proofErr w:type="gramStart"/>
      <w:r>
        <w:rPr>
          <w:rFonts w:ascii="Times New Roman" w:hAnsi="Times New Roman"/>
        </w:rPr>
        <w:t>por</w:t>
      </w:r>
      <w:proofErr w:type="gramEnd"/>
      <w:r>
        <w:rPr>
          <w:rFonts w:ascii="Times New Roman" w:hAnsi="Times New Roman"/>
        </w:rPr>
        <w:t xml:space="preserve"> razão de interesse público; ou</w:t>
      </w:r>
    </w:p>
    <w:p w:rsidR="00276727" w:rsidRDefault="00964923">
      <w:pPr>
        <w:pStyle w:val="Standard"/>
        <w:tabs>
          <w:tab w:val="left" w:pos="567"/>
        </w:tabs>
        <w:ind w:hanging="340"/>
      </w:pPr>
      <w:r>
        <w:rPr>
          <w:rFonts w:ascii="Times New Roman" w:hAnsi="Times New Roman"/>
          <w:b/>
          <w:bCs/>
        </w:rPr>
        <w:t>13.2.2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pedido do fornecedor quando:</w:t>
      </w:r>
    </w:p>
    <w:p w:rsidR="00276727" w:rsidRDefault="00964923">
      <w:pPr>
        <w:pStyle w:val="Standard"/>
        <w:widowControl w:val="0"/>
        <w:tabs>
          <w:tab w:val="left" w:pos="0"/>
        </w:tabs>
        <w:autoSpaceDE w:val="0"/>
        <w:jc w:val="both"/>
      </w:pPr>
      <w:r>
        <w:rPr>
          <w:rFonts w:ascii="Times New Roman" w:hAnsi="Times New Roman"/>
          <w:spacing w:val="-1"/>
        </w:rPr>
        <w:t>a) comprovarem estar impossibilitadas de cumprir as e</w:t>
      </w:r>
      <w:r>
        <w:rPr>
          <w:rFonts w:ascii="Times New Roman" w:hAnsi="Times New Roman"/>
          <w:spacing w:val="-1"/>
        </w:rPr>
        <w:t>xigências da Ata, por ocorrência de casos fortuitos ou de força maior;</w:t>
      </w:r>
    </w:p>
    <w:p w:rsidR="00276727" w:rsidRDefault="00964923">
      <w:pPr>
        <w:pStyle w:val="Standard"/>
        <w:widowControl w:val="0"/>
        <w:tabs>
          <w:tab w:val="left" w:pos="0"/>
        </w:tabs>
        <w:autoSpaceDE w:val="0"/>
        <w:jc w:val="both"/>
      </w:pPr>
      <w:r>
        <w:rPr>
          <w:rFonts w:ascii="Times New Roman" w:hAnsi="Times New Roman"/>
          <w:spacing w:val="-1"/>
        </w:rPr>
        <w:t xml:space="preserve">b) o seu preço registrado se tornar, comprovadamente, </w:t>
      </w:r>
      <w:proofErr w:type="spellStart"/>
      <w:r>
        <w:rPr>
          <w:rFonts w:ascii="Times New Roman" w:hAnsi="Times New Roman"/>
          <w:spacing w:val="-1"/>
        </w:rPr>
        <w:t>inexeqüível</w:t>
      </w:r>
      <w:proofErr w:type="spellEnd"/>
      <w:r>
        <w:rPr>
          <w:rFonts w:ascii="Times New Roman" w:hAnsi="Times New Roman"/>
          <w:spacing w:val="-1"/>
        </w:rPr>
        <w:t xml:space="preserve"> em função da elevação dos preços de mercado dos insumos que compõem o custo do serviço e/ou produto.   </w:t>
      </w:r>
    </w:p>
    <w:p w:rsidR="00276727" w:rsidRDefault="00964923">
      <w:pPr>
        <w:pStyle w:val="Standard"/>
        <w:widowControl w:val="0"/>
        <w:tabs>
          <w:tab w:val="left" w:pos="0"/>
        </w:tabs>
        <w:autoSpaceDE w:val="0"/>
        <w:ind w:hanging="170"/>
        <w:jc w:val="both"/>
      </w:pPr>
      <w:r>
        <w:rPr>
          <w:rFonts w:ascii="Times New Roman" w:hAnsi="Times New Roman" w:cs="Times New Roman"/>
          <w:b/>
          <w:bCs/>
          <w:color w:val="00000A"/>
          <w:spacing w:val="-1"/>
        </w:rPr>
        <w:t>13.3.</w:t>
      </w:r>
      <w:r>
        <w:rPr>
          <w:rFonts w:ascii="Times New Roman" w:hAnsi="Times New Roman" w:cs="Times New Roman"/>
          <w:color w:val="00000A"/>
          <w:spacing w:val="-1"/>
        </w:rPr>
        <w:t xml:space="preserve"> </w:t>
      </w:r>
      <w:r>
        <w:rPr>
          <w:rFonts w:ascii="Times New Roman" w:hAnsi="Times New Roman" w:cs="Times New Roman"/>
          <w:color w:val="00000A"/>
        </w:rPr>
        <w:t xml:space="preserve">A Ata de </w:t>
      </w:r>
      <w:r>
        <w:rPr>
          <w:rFonts w:ascii="Times New Roman" w:hAnsi="Times New Roman" w:cs="Times New Roman"/>
          <w:color w:val="00000A"/>
        </w:rPr>
        <w:t>Registro de Preços, decorrente desta licitação, será cancelada, automaticamente, por decurso do prazo de sua vigência.</w:t>
      </w:r>
    </w:p>
    <w:p w:rsidR="00276727" w:rsidRDefault="00276727">
      <w:pPr>
        <w:pStyle w:val="Standard"/>
        <w:widowControl w:val="0"/>
        <w:tabs>
          <w:tab w:val="left" w:pos="0"/>
        </w:tabs>
        <w:autoSpaceDE w:val="0"/>
        <w:ind w:hanging="170"/>
        <w:jc w:val="both"/>
        <w:rPr>
          <w:rFonts w:ascii="Times New Roman" w:hAnsi="Times New Roman" w:cs="Times New Roman"/>
          <w:color w:val="00000A"/>
        </w:rPr>
      </w:pPr>
    </w:p>
    <w:p w:rsidR="00276727" w:rsidRDefault="00964923">
      <w:pPr>
        <w:pStyle w:val="Standard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autoSpaceDE w:val="0"/>
        <w:spacing w:line="100" w:lineRule="atLeast"/>
        <w:ind w:hanging="170"/>
        <w:jc w:val="both"/>
      </w:pPr>
      <w:r>
        <w:rPr>
          <w:rFonts w:ascii="Times New Roman" w:eastAsia="Calibri" w:hAnsi="Times New Roman" w:cs="Times New Roman"/>
          <w:b/>
          <w:color w:val="00000A"/>
          <w:shd w:val="clear" w:color="auto" w:fill="FFFFFF"/>
        </w:rPr>
        <w:t>14– DAS SANÇÕES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14.1.</w:t>
      </w:r>
      <w:r>
        <w:rPr>
          <w:bCs/>
        </w:rPr>
        <w:t xml:space="preserve"> São sanções passíveis de aplicação às empresas, sem prejuízo de outras sanções previstas em legislação pertinente </w:t>
      </w:r>
      <w:r>
        <w:rPr>
          <w:bCs/>
        </w:rPr>
        <w:t>e da responsabilidade civil e criminal que seus atos ensejarem:</w:t>
      </w:r>
    </w:p>
    <w:p w:rsidR="00276727" w:rsidRDefault="00964923">
      <w:pPr>
        <w:pStyle w:val="PargrafodaLista"/>
        <w:tabs>
          <w:tab w:val="left" w:pos="284"/>
        </w:tabs>
        <w:spacing w:after="50"/>
        <w:ind w:left="0"/>
        <w:jc w:val="both"/>
      </w:pPr>
      <w:r>
        <w:rPr>
          <w:b/>
          <w:bCs/>
        </w:rPr>
        <w:t>14.1.1</w:t>
      </w:r>
      <w:r>
        <w:rPr>
          <w:bCs/>
        </w:rPr>
        <w:t xml:space="preserve">. </w:t>
      </w:r>
      <w:proofErr w:type="gramStart"/>
      <w:r>
        <w:rPr>
          <w:bCs/>
        </w:rPr>
        <w:t>advertência</w:t>
      </w:r>
      <w:proofErr w:type="gramEnd"/>
      <w:r>
        <w:rPr>
          <w:bCs/>
        </w:rPr>
        <w:t>;</w:t>
      </w:r>
    </w:p>
    <w:p w:rsidR="00276727" w:rsidRDefault="00964923">
      <w:pPr>
        <w:pStyle w:val="PargrafodaLista"/>
        <w:tabs>
          <w:tab w:val="left" w:pos="284"/>
        </w:tabs>
        <w:spacing w:after="50"/>
        <w:ind w:left="0"/>
        <w:jc w:val="both"/>
      </w:pPr>
      <w:r>
        <w:rPr>
          <w:b/>
          <w:bCs/>
        </w:rPr>
        <w:lastRenderedPageBreak/>
        <w:t>14.1.2.</w:t>
      </w:r>
      <w:r>
        <w:rPr>
          <w:bCs/>
        </w:rPr>
        <w:t xml:space="preserve"> </w:t>
      </w:r>
      <w:proofErr w:type="gramStart"/>
      <w:r>
        <w:rPr>
          <w:bCs/>
        </w:rPr>
        <w:t>multa</w:t>
      </w:r>
      <w:proofErr w:type="gramEnd"/>
      <w:r>
        <w:rPr>
          <w:bCs/>
        </w:rPr>
        <w:t xml:space="preserve"> diária de 0,3% (três décimos percentuais);</w:t>
      </w:r>
    </w:p>
    <w:p w:rsidR="00276727" w:rsidRDefault="00964923">
      <w:pPr>
        <w:pStyle w:val="PargrafodaLista"/>
        <w:tabs>
          <w:tab w:val="left" w:pos="284"/>
        </w:tabs>
        <w:spacing w:after="50"/>
        <w:ind w:left="0"/>
        <w:jc w:val="both"/>
      </w:pPr>
      <w:r>
        <w:rPr>
          <w:b/>
          <w:bCs/>
        </w:rPr>
        <w:t>14.1.3</w:t>
      </w:r>
      <w:r>
        <w:rPr>
          <w:bCs/>
        </w:rPr>
        <w:t xml:space="preserve">. </w:t>
      </w:r>
      <w:proofErr w:type="gramStart"/>
      <w:r>
        <w:rPr>
          <w:bCs/>
        </w:rPr>
        <w:t>multa</w:t>
      </w:r>
      <w:proofErr w:type="gramEnd"/>
      <w:r>
        <w:rPr>
          <w:bCs/>
        </w:rPr>
        <w:t xml:space="preserve"> de até 5% (cinco por cento);</w:t>
      </w:r>
    </w:p>
    <w:p w:rsidR="00276727" w:rsidRDefault="00964923">
      <w:pPr>
        <w:pStyle w:val="PargrafodaLista"/>
        <w:tabs>
          <w:tab w:val="left" w:pos="284"/>
        </w:tabs>
        <w:spacing w:after="50"/>
        <w:ind w:left="0"/>
        <w:jc w:val="both"/>
      </w:pPr>
      <w:r>
        <w:rPr>
          <w:b/>
          <w:bCs/>
        </w:rPr>
        <w:t>14.1.4</w:t>
      </w:r>
      <w:r>
        <w:rPr>
          <w:bCs/>
        </w:rPr>
        <w:t xml:space="preserve">. </w:t>
      </w:r>
      <w:proofErr w:type="gramStart"/>
      <w:r>
        <w:rPr>
          <w:bCs/>
        </w:rPr>
        <w:t>multa</w:t>
      </w:r>
      <w:proofErr w:type="gramEnd"/>
      <w:r>
        <w:rPr>
          <w:bCs/>
        </w:rPr>
        <w:t xml:space="preserve"> de até 10% (dez por cento);</w:t>
      </w:r>
    </w:p>
    <w:p w:rsidR="00276727" w:rsidRDefault="00964923">
      <w:pPr>
        <w:pStyle w:val="PargrafodaLista"/>
        <w:spacing w:after="50"/>
        <w:ind w:left="0"/>
        <w:jc w:val="both"/>
      </w:pPr>
      <w:r>
        <w:rPr>
          <w:b/>
          <w:bCs/>
        </w:rPr>
        <w:t>14.1.5.</w:t>
      </w:r>
      <w:r>
        <w:rPr>
          <w:bCs/>
        </w:rPr>
        <w:t xml:space="preserve"> </w:t>
      </w:r>
      <w:proofErr w:type="gramStart"/>
      <w:r>
        <w:rPr>
          <w:bCs/>
        </w:rPr>
        <w:t>suspensão</w:t>
      </w:r>
      <w:proofErr w:type="gramEnd"/>
      <w:r>
        <w:rPr>
          <w:bCs/>
        </w:rPr>
        <w:t xml:space="preserve"> temporária,</w:t>
      </w:r>
      <w:r>
        <w:rPr>
          <w:bCs/>
        </w:rPr>
        <w:t xml:space="preserve"> pelo período de até 2 (dois) anos, de participação em licitação e contratação com este órgão com a imediata comunicação;</w:t>
      </w:r>
    </w:p>
    <w:p w:rsidR="00276727" w:rsidRDefault="00964923">
      <w:pPr>
        <w:pStyle w:val="PargrafodaLista"/>
        <w:spacing w:after="50"/>
        <w:ind w:left="0"/>
        <w:jc w:val="both"/>
      </w:pPr>
      <w:r>
        <w:rPr>
          <w:b/>
          <w:bCs/>
        </w:rPr>
        <w:t>14.1.6.</w:t>
      </w:r>
      <w:r>
        <w:rPr>
          <w:bCs/>
        </w:rPr>
        <w:t xml:space="preserve"> </w:t>
      </w:r>
      <w:proofErr w:type="gramStart"/>
      <w:r>
        <w:rPr>
          <w:bCs/>
        </w:rPr>
        <w:t>impedimento</w:t>
      </w:r>
      <w:proofErr w:type="gramEnd"/>
      <w:r>
        <w:rPr>
          <w:bCs/>
        </w:rPr>
        <w:t xml:space="preserve"> de licitar e contratar com o Município de Maceió pelo prazo de até cinco anos nos termos do art. 10, Anexo II, c/c</w:t>
      </w:r>
      <w:r>
        <w:rPr>
          <w:bCs/>
        </w:rPr>
        <w:t xml:space="preserve"> art. 14, Anexo I, todos do Decreto Municipal 6.417/2004 com o imediato registro no SICAF.  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14.2.</w:t>
      </w:r>
      <w:r>
        <w:rPr>
          <w:bCs/>
        </w:rPr>
        <w:t xml:space="preserve"> O fornecedor estará sujeito às sanções do subitem 14.1 nas seguintes hipóteses:</w:t>
      </w:r>
    </w:p>
    <w:p w:rsidR="00276727" w:rsidRDefault="00964923">
      <w:pPr>
        <w:pStyle w:val="Standard"/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Falhar ou fraudar na execução da contratação, comportar-se de modo inidône</w:t>
      </w:r>
      <w:r>
        <w:rPr>
          <w:rFonts w:ascii="Times New Roman" w:hAnsi="Times New Roman"/>
        </w:rPr>
        <w:t>o, fizer declaração falsa ou cometer fraude fiscal: aplicação da sanção prevista no subitem “14.1.4” (calculada sobre o valor total da contratação) e/ou “14.1.6”;</w:t>
      </w:r>
    </w:p>
    <w:p w:rsidR="00276727" w:rsidRDefault="00964923">
      <w:pPr>
        <w:pStyle w:val="Standard"/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 Infrações de menor gravidade que não acarretem prejuízos ao município: aplicação da sanção</w:t>
      </w:r>
      <w:r>
        <w:rPr>
          <w:rFonts w:ascii="Times New Roman" w:hAnsi="Times New Roman"/>
        </w:rPr>
        <w:t xml:space="preserve"> prevista no subitem 14.1.1”;</w:t>
      </w:r>
    </w:p>
    <w:p w:rsidR="00276727" w:rsidRDefault="00964923">
      <w:pPr>
        <w:pStyle w:val="Standard"/>
        <w:autoSpaceDE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Por dia de atraso quanto ao cumprimento das determinações exaradas pela Contratante: aplicação da sanção prevista no subitem “14.1.2” (calculada sobre o valor total da contratação, ou sobre o valor da parcela a que se refer</w:t>
      </w:r>
      <w:r>
        <w:rPr>
          <w:rFonts w:ascii="Times New Roman" w:hAnsi="Times New Roman"/>
        </w:rPr>
        <w:t>e a determinação, conforme o caso, até o máximo de 10 (dez) por cento daqueles valores, por ocorrência).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>14.3.</w:t>
      </w:r>
      <w:r>
        <w:rPr>
          <w:bCs/>
        </w:rPr>
        <w:t xml:space="preserve"> Em caso de ocorrência de inadimplemento não contemplado nas hipóteses anteriores, a Administração procederá à apuração do dano para aplicação da </w:t>
      </w:r>
      <w:r>
        <w:rPr>
          <w:bCs/>
        </w:rPr>
        <w:t>sanção apropriada ao caso concreto, observado o princípio da proporcionalidade.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 xml:space="preserve">14.4. </w:t>
      </w:r>
      <w:r>
        <w:rPr>
          <w:bCs/>
        </w:rPr>
        <w:t>Comprovado impedimento ou reconhecida força maior, devidamente justificado e aceito pela Administração, em relação a um dos eventos arrolados no subitem 14.2, a empresa f</w:t>
      </w:r>
      <w:r>
        <w:rPr>
          <w:bCs/>
        </w:rPr>
        <w:t>icará isenta das penalidades mencionadas.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 xml:space="preserve">14.5. </w:t>
      </w:r>
      <w:r>
        <w:rPr>
          <w:bCs/>
        </w:rPr>
        <w:t>A critério da Contratante, nos termos do art. 87, § 2.º, da Lei Federal n.º 8.666/93, e considerando a gravidade da infração cometida, ocorrendo quaisquer das hipóteses indicadas no subitem 14.2, a sanção pre</w:t>
      </w:r>
      <w:r>
        <w:rPr>
          <w:bCs/>
        </w:rPr>
        <w:t>vista no subitem “14.1.5” ou no subitem “14.1.6” do item 14.1 que poderá ser aplicada isolada ou cumulativamente com quaisquer das multas previstas no subitem “14.1.2” a “14.1.4” do mesmo dispositivo.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</w:rPr>
        <w:t xml:space="preserve">14.6. </w:t>
      </w:r>
      <w:r>
        <w:rPr>
          <w:bCs/>
        </w:rPr>
        <w:t>As penalidades fixadas no subitem 14.1 serão apli</w:t>
      </w:r>
      <w:r>
        <w:rPr>
          <w:bCs/>
        </w:rPr>
        <w:t>cadas através de Processo Administrativo a cargo da Contratante, no qual serão assegurados à contratada o contraditório e a ampla defesa.</w:t>
      </w:r>
    </w:p>
    <w:p w:rsidR="00276727" w:rsidRDefault="00964923">
      <w:pPr>
        <w:pStyle w:val="PargrafodaLista"/>
        <w:widowControl w:val="0"/>
        <w:tabs>
          <w:tab w:val="left" w:pos="0"/>
        </w:tabs>
        <w:autoSpaceDE w:val="0"/>
        <w:spacing w:after="50"/>
        <w:ind w:left="0" w:hanging="340"/>
        <w:jc w:val="both"/>
      </w:pPr>
      <w:r>
        <w:rPr>
          <w:b/>
          <w:bCs/>
        </w:rPr>
        <w:t>14.7.</w:t>
      </w:r>
      <w:r>
        <w:rPr>
          <w:bCs/>
        </w:rPr>
        <w:t xml:space="preserve"> As sanções administrativas serão registradas no SICAF.</w:t>
      </w:r>
    </w:p>
    <w:p w:rsidR="00276727" w:rsidRDefault="00276727">
      <w:pPr>
        <w:pStyle w:val="PargrafodaLista"/>
        <w:widowControl w:val="0"/>
        <w:tabs>
          <w:tab w:val="left" w:pos="0"/>
        </w:tabs>
        <w:autoSpaceDE w:val="0"/>
        <w:spacing w:after="50"/>
        <w:ind w:left="0" w:hanging="340"/>
        <w:jc w:val="both"/>
        <w:rPr>
          <w:bCs/>
        </w:rPr>
      </w:pPr>
    </w:p>
    <w:p w:rsidR="00276727" w:rsidRDefault="00964923">
      <w:pPr>
        <w:pStyle w:val="Standard"/>
        <w:widowControl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7200"/>
        </w:tabs>
        <w:autoSpaceDE w:val="0"/>
        <w:spacing w:line="100" w:lineRule="atLeast"/>
        <w:ind w:hanging="170"/>
        <w:jc w:val="both"/>
      </w:pPr>
      <w:r>
        <w:rPr>
          <w:rFonts w:ascii="Times New Roman" w:eastAsia="Calibri" w:hAnsi="Times New Roman" w:cs="Times New Roman"/>
          <w:b/>
          <w:color w:val="00000A"/>
          <w:shd w:val="clear" w:color="auto" w:fill="FFFFFF"/>
        </w:rPr>
        <w:t>15– GARANTIA E ASSISTÊNCIA TÉCNICA DOS PRODUTOS</w:t>
      </w:r>
    </w:p>
    <w:p w:rsidR="00276727" w:rsidRDefault="00964923">
      <w:pPr>
        <w:pStyle w:val="PargrafodaLista"/>
        <w:tabs>
          <w:tab w:val="left" w:pos="-343"/>
          <w:tab w:val="left" w:pos="-11"/>
        </w:tabs>
        <w:autoSpaceDE w:val="0"/>
        <w:spacing w:after="50"/>
        <w:ind w:left="0"/>
        <w:jc w:val="both"/>
      </w:pPr>
      <w:r>
        <w:rPr>
          <w:b/>
          <w:bCs/>
          <w:color w:val="000000"/>
        </w:rPr>
        <w:t>15.1.</w:t>
      </w:r>
      <w:r>
        <w:rPr>
          <w:bCs/>
          <w:color w:val="000000"/>
        </w:rPr>
        <w:t xml:space="preserve"> </w:t>
      </w:r>
      <w:r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</w:rPr>
        <w:t>CONTRATADA oferecerá os bens com garantia mínima de 90 (noventa) dias, a critério do fabricante ou às suas expensas, contra defeitos de fabricação.</w:t>
      </w:r>
    </w:p>
    <w:p w:rsidR="00276727" w:rsidRDefault="00964923">
      <w:pPr>
        <w:pStyle w:val="PargrafodaLista"/>
        <w:autoSpaceDE w:val="0"/>
        <w:spacing w:after="50"/>
        <w:ind w:left="0"/>
        <w:jc w:val="both"/>
      </w:pPr>
      <w:r>
        <w:rPr>
          <w:b/>
          <w:bCs/>
          <w:color w:val="000000"/>
        </w:rPr>
        <w:t>15.2.</w:t>
      </w:r>
      <w:r>
        <w:rPr>
          <w:color w:val="000000"/>
        </w:rPr>
        <w:t xml:space="preserve"> Durante o período de garantia, os produtos que apresentarem defeitos deverão ser trocados por outro de</w:t>
      </w:r>
      <w:r>
        <w:rPr>
          <w:color w:val="000000"/>
        </w:rPr>
        <w:t xml:space="preserve"> igual modelo, ou superior, mantendo, no mínimo, as mesmas características dos produtos originalmente fornecidos e todas as despesas inerentes à reposição e transporte, correrão por conta da Contratada, não cabendo qualquer ônus a Contratante, conforme o c</w:t>
      </w:r>
      <w:r>
        <w:rPr>
          <w:color w:val="000000"/>
        </w:rPr>
        <w:t>aso.</w:t>
      </w:r>
    </w:p>
    <w:p w:rsidR="00276727" w:rsidRDefault="00964923">
      <w:pPr>
        <w:pStyle w:val="PargrafodaLista"/>
        <w:tabs>
          <w:tab w:val="left" w:pos="284"/>
        </w:tabs>
        <w:autoSpaceDE w:val="0"/>
        <w:spacing w:after="50"/>
        <w:ind w:left="0"/>
        <w:jc w:val="both"/>
      </w:pPr>
      <w:r>
        <w:rPr>
          <w:rFonts w:cs="Calibri"/>
          <w:b/>
          <w:bCs/>
          <w:color w:val="000000"/>
        </w:rPr>
        <w:t>15.3.</w:t>
      </w:r>
      <w:r>
        <w:rPr>
          <w:rFonts w:cs="Calibri"/>
          <w:color w:val="000000"/>
        </w:rPr>
        <w:t xml:space="preserve"> A Lei 8.078/90 (Código de Defesa do Consumidor) regerá as demais disposições pertinentes à matéria.</w:t>
      </w:r>
    </w:p>
    <w:p w:rsidR="00276727" w:rsidRDefault="00276727">
      <w:pPr>
        <w:pStyle w:val="PargrafodaLista"/>
        <w:tabs>
          <w:tab w:val="left" w:pos="284"/>
        </w:tabs>
        <w:autoSpaceDE w:val="0"/>
        <w:spacing w:after="50"/>
        <w:ind w:left="0"/>
        <w:jc w:val="both"/>
        <w:rPr>
          <w:rFonts w:cs="Calibri"/>
          <w:color w:val="000000"/>
        </w:rPr>
      </w:pPr>
    </w:p>
    <w:p w:rsidR="00276727" w:rsidRDefault="00964923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00" w:lineRule="atLeast"/>
        <w:jc w:val="both"/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16</w:t>
      </w:r>
      <w:r>
        <w:rPr>
          <w:rFonts w:ascii="Times New Roman" w:hAnsi="Times New Roman" w:cs="Times New Roman"/>
          <w:color w:val="000000"/>
          <w:shd w:val="clear" w:color="auto" w:fill="FFFFFF"/>
        </w:rPr>
        <w:t>-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DISPOSIÇÕES GERAIS/INFORMAÇÕES COMPLEMENTARES</w:t>
      </w:r>
    </w:p>
    <w:p w:rsidR="00276727" w:rsidRDefault="00964923">
      <w:pPr>
        <w:pStyle w:val="Standard"/>
        <w:jc w:val="both"/>
      </w:pPr>
      <w:r>
        <w:rPr>
          <w:rFonts w:ascii="Times New Roman" w:hAnsi="Times New Roman" w:cs="Times New Roman"/>
          <w:b/>
          <w:color w:val="00000A"/>
        </w:rPr>
        <w:lastRenderedPageBreak/>
        <w:t xml:space="preserve">16.1. </w:t>
      </w:r>
      <w:r>
        <w:rPr>
          <w:rFonts w:ascii="Times New Roman" w:hAnsi="Times New Roman" w:cs="Times New Roman"/>
          <w:color w:val="00000A"/>
        </w:rPr>
        <w:t xml:space="preserve">O setor técnico competente auxiliará o pregoeiro nos casos de pedidos de </w:t>
      </w:r>
      <w:r>
        <w:rPr>
          <w:rFonts w:ascii="Times New Roman" w:hAnsi="Times New Roman" w:cs="Times New Roman"/>
          <w:color w:val="00000A"/>
        </w:rPr>
        <w:t>esclarecimentos, impugnações a análise de propostas.</w:t>
      </w:r>
    </w:p>
    <w:p w:rsidR="00276727" w:rsidRDefault="00964923">
      <w:pPr>
        <w:pStyle w:val="Standard"/>
        <w:jc w:val="both"/>
      </w:pPr>
      <w:r>
        <w:rPr>
          <w:rFonts w:ascii="Times New Roman" w:hAnsi="Times New Roman" w:cs="Times New Roman"/>
          <w:b/>
          <w:color w:val="00000A"/>
        </w:rPr>
        <w:t>16.2.</w:t>
      </w:r>
      <w:r>
        <w:rPr>
          <w:rFonts w:ascii="Times New Roman" w:hAnsi="Times New Roman" w:cs="Times New Roman"/>
          <w:color w:val="00000A"/>
        </w:rPr>
        <w:t xml:space="preserve"> Eventuais pedidos de informações/esclarecimentos deverão ser encaminhados DVS, por escrito no endereço: Rua Zacarias de Azevedo, nº 119, Maceió/AL. Telefone: (82) 3315-5258 ou por e-mail: dvs@sms.m</w:t>
      </w:r>
      <w:r>
        <w:rPr>
          <w:rFonts w:ascii="Times New Roman" w:hAnsi="Times New Roman" w:cs="Times New Roman"/>
          <w:color w:val="00000A"/>
        </w:rPr>
        <w:t>aceio.al.gov.br.</w:t>
      </w:r>
    </w:p>
    <w:p w:rsidR="00276727" w:rsidRDefault="00276727">
      <w:pPr>
        <w:pStyle w:val="Standard"/>
        <w:jc w:val="both"/>
        <w:rPr>
          <w:rFonts w:ascii="Times New Roman" w:hAnsi="Times New Roman" w:cs="Times New Roman"/>
          <w:color w:val="00000A"/>
        </w:rPr>
      </w:pPr>
    </w:p>
    <w:p w:rsidR="00276727" w:rsidRDefault="00276727">
      <w:pPr>
        <w:pStyle w:val="Standard"/>
        <w:spacing w:line="200" w:lineRule="atLeast"/>
        <w:jc w:val="both"/>
        <w:rPr>
          <w:rFonts w:ascii="Times New Roman" w:hAnsi="Times New Roman" w:cs="Times New Roman"/>
        </w:rPr>
      </w:pPr>
    </w:p>
    <w:p w:rsidR="00276727" w:rsidRDefault="00964923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Maceió/AL, 21 de Agosto de 2018.</w:t>
      </w:r>
    </w:p>
    <w:p w:rsidR="00276727" w:rsidRDefault="00276727">
      <w:pPr>
        <w:pStyle w:val="Standard"/>
        <w:spacing w:line="100" w:lineRule="atLeast"/>
        <w:jc w:val="center"/>
        <w:rPr>
          <w:rFonts w:ascii="Times New Roman" w:eastAsia="Times New Roman" w:hAnsi="Times New Roman" w:cs="Times New Roman"/>
        </w:rPr>
      </w:pPr>
    </w:p>
    <w:p w:rsidR="00276727" w:rsidRDefault="00276727">
      <w:pPr>
        <w:pStyle w:val="Standard"/>
        <w:tabs>
          <w:tab w:val="left" w:pos="3415"/>
        </w:tabs>
        <w:spacing w:line="100" w:lineRule="atLeast"/>
        <w:rPr>
          <w:rFonts w:ascii="Times New Roman" w:eastAsia="Times New Roman" w:hAnsi="Times New Roman" w:cs="Times New Roman"/>
          <w:b/>
        </w:rPr>
      </w:pPr>
    </w:p>
    <w:p w:rsidR="00276727" w:rsidRDefault="00276727">
      <w:pPr>
        <w:pStyle w:val="Standard"/>
        <w:tabs>
          <w:tab w:val="left" w:pos="3415"/>
        </w:tabs>
        <w:spacing w:line="100" w:lineRule="atLeast"/>
        <w:rPr>
          <w:rFonts w:ascii="Times New Roman" w:eastAsia="Times New Roman" w:hAnsi="Times New Roman" w:cs="Times New Roman"/>
          <w:b/>
        </w:rPr>
      </w:pPr>
    </w:p>
    <w:p w:rsidR="00276727" w:rsidRDefault="00276727">
      <w:pPr>
        <w:pStyle w:val="Standard"/>
        <w:tabs>
          <w:tab w:val="left" w:pos="3415"/>
        </w:tabs>
        <w:spacing w:line="100" w:lineRule="atLeast"/>
        <w:rPr>
          <w:rFonts w:ascii="Times New Roman" w:eastAsia="Times New Roman" w:hAnsi="Times New Roman" w:cs="Times New Roman"/>
          <w:b/>
        </w:rPr>
      </w:pPr>
    </w:p>
    <w:p w:rsidR="00276727" w:rsidRDefault="00964923">
      <w:pPr>
        <w:pStyle w:val="Standard"/>
        <w:tabs>
          <w:tab w:val="left" w:pos="3415"/>
        </w:tabs>
        <w:spacing w:line="10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À consideração superior,</w:t>
      </w:r>
    </w:p>
    <w:p w:rsidR="00276727" w:rsidRDefault="00276727">
      <w:pPr>
        <w:pStyle w:val="Standard"/>
        <w:spacing w:line="100" w:lineRule="atLeast"/>
        <w:jc w:val="both"/>
        <w:rPr>
          <w:rFonts w:ascii="Times New Roman" w:hAnsi="Times New Roman" w:cs="Times New Roman"/>
        </w:rPr>
      </w:pPr>
    </w:p>
    <w:p w:rsidR="00276727" w:rsidRDefault="00276727">
      <w:pPr>
        <w:pStyle w:val="Standard"/>
        <w:spacing w:line="100" w:lineRule="atLeast"/>
        <w:jc w:val="both"/>
        <w:rPr>
          <w:rFonts w:ascii="Times New Roman" w:hAnsi="Times New Roman" w:cs="Times New Roman"/>
        </w:rPr>
      </w:pPr>
    </w:p>
    <w:p w:rsidR="00276727" w:rsidRDefault="00964923">
      <w:pPr>
        <w:pStyle w:val="Standard"/>
        <w:spacing w:line="2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Fernanda Araújo Rodrigues</w:t>
      </w:r>
    </w:p>
    <w:p w:rsidR="00276727" w:rsidRDefault="00964923">
      <w:pPr>
        <w:pStyle w:val="Standard"/>
        <w:spacing w:line="200" w:lineRule="atLeas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Diretoria de Vigilância em Saúde</w:t>
      </w:r>
    </w:p>
    <w:p w:rsidR="00276727" w:rsidRDefault="00276727">
      <w:pPr>
        <w:pStyle w:val="Standard"/>
        <w:spacing w:line="200" w:lineRule="atLeast"/>
        <w:jc w:val="center"/>
        <w:rPr>
          <w:rFonts w:ascii="Times New Roman" w:hAnsi="Times New Roman" w:cs="Times New Roman"/>
          <w:i/>
          <w:iCs/>
        </w:rPr>
      </w:pPr>
    </w:p>
    <w:p w:rsidR="00276727" w:rsidRDefault="00276727">
      <w:pPr>
        <w:pStyle w:val="Standard"/>
        <w:spacing w:line="100" w:lineRule="atLeast"/>
        <w:jc w:val="both"/>
        <w:rPr>
          <w:rFonts w:ascii="Times New Roman" w:hAnsi="Times New Roman" w:cs="Times New Roman"/>
          <w:b/>
        </w:rPr>
      </w:pPr>
    </w:p>
    <w:p w:rsidR="00276727" w:rsidRDefault="00276727">
      <w:pPr>
        <w:pStyle w:val="Standard"/>
        <w:snapToGrid w:val="0"/>
        <w:jc w:val="center"/>
        <w:rPr>
          <w:rFonts w:ascii="Times New Roman" w:hAnsi="Times New Roman" w:cs="Times New Roman"/>
        </w:rPr>
      </w:pPr>
    </w:p>
    <w:p w:rsidR="00276727" w:rsidRDefault="00276727">
      <w:pPr>
        <w:pStyle w:val="Standard"/>
        <w:snapToGrid w:val="0"/>
        <w:spacing w:line="100" w:lineRule="atLeast"/>
        <w:jc w:val="center"/>
        <w:rPr>
          <w:rFonts w:ascii="Times New Roman" w:hAnsi="Times New Roman" w:cs="Times New Roman"/>
          <w:b/>
          <w:color w:val="00000A"/>
          <w:sz w:val="22"/>
          <w:szCs w:val="22"/>
        </w:rPr>
      </w:pPr>
    </w:p>
    <w:p w:rsidR="00276727" w:rsidRDefault="00964923">
      <w:pPr>
        <w:pStyle w:val="Standard"/>
        <w:snapToGrid w:val="0"/>
        <w:spacing w:line="100" w:lineRule="atLeast"/>
        <w:jc w:val="center"/>
        <w:rPr>
          <w:rFonts w:ascii="Times New Roman" w:hAnsi="Times New Roman" w:cs="Times New Roman"/>
          <w:b/>
          <w:color w:val="00000A"/>
          <w:sz w:val="22"/>
          <w:szCs w:val="22"/>
        </w:rPr>
      </w:pPr>
      <w:r>
        <w:rPr>
          <w:rFonts w:ascii="Times New Roman" w:hAnsi="Times New Roman" w:cs="Times New Roman"/>
          <w:b/>
          <w:color w:val="00000A"/>
          <w:sz w:val="22"/>
          <w:szCs w:val="22"/>
        </w:rPr>
        <w:t>José Thomaz Nonô</w:t>
      </w:r>
    </w:p>
    <w:p w:rsidR="00276727" w:rsidRDefault="00964923">
      <w:pPr>
        <w:pStyle w:val="Standard"/>
        <w:spacing w:line="100" w:lineRule="atLeast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Secretário Municipal de Saúde</w:t>
      </w:r>
    </w:p>
    <w:p w:rsidR="00276727" w:rsidRDefault="00276727">
      <w:pPr>
        <w:pStyle w:val="Standard"/>
        <w:spacing w:line="100" w:lineRule="atLeast"/>
        <w:jc w:val="center"/>
        <w:rPr>
          <w:rFonts w:ascii="Times New Roman" w:hAnsi="Times New Roman" w:cs="Times New Roman"/>
          <w:i/>
          <w:color w:val="000000"/>
        </w:rPr>
      </w:pPr>
    </w:p>
    <w:p w:rsidR="00276727" w:rsidRDefault="00276727">
      <w:pPr>
        <w:pStyle w:val="Standard"/>
        <w:spacing w:line="100" w:lineRule="atLeast"/>
        <w:jc w:val="center"/>
        <w:rPr>
          <w:rFonts w:ascii="Times New Roman" w:hAnsi="Times New Roman" w:cs="Times New Roman"/>
          <w:i/>
          <w:color w:val="000000"/>
        </w:rPr>
      </w:pPr>
    </w:p>
    <w:p w:rsidR="00276727" w:rsidRDefault="00276727">
      <w:pPr>
        <w:pStyle w:val="Standard"/>
        <w:snapToGrid w:val="0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tabs>
          <w:tab w:val="left" w:pos="284"/>
        </w:tabs>
        <w:spacing w:line="100" w:lineRule="atLeast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276727" w:rsidRDefault="00276727">
      <w:pPr>
        <w:pStyle w:val="Standard"/>
        <w:jc w:val="center"/>
        <w:rPr>
          <w:rFonts w:ascii="Times New Roman" w:hAnsi="Times New Roman" w:cs="Times New Roman"/>
          <w:b/>
          <w:i/>
          <w:color w:val="000000"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  <w:b/>
        </w:rPr>
      </w:pPr>
    </w:p>
    <w:p w:rsidR="00276727" w:rsidRDefault="00276727">
      <w:pPr>
        <w:pStyle w:val="Standard"/>
        <w:jc w:val="center"/>
        <w:rPr>
          <w:rFonts w:ascii="Times New Roman" w:hAnsi="Times New Roman"/>
        </w:rPr>
      </w:pPr>
    </w:p>
    <w:sectPr w:rsidR="00276727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4923">
      <w:r>
        <w:separator/>
      </w:r>
    </w:p>
  </w:endnote>
  <w:endnote w:type="continuationSeparator" w:id="0">
    <w:p w:rsidR="00000000" w:rsidRDefault="00964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4923">
      <w:r>
        <w:rPr>
          <w:color w:val="000000"/>
        </w:rPr>
        <w:separator/>
      </w:r>
    </w:p>
  </w:footnote>
  <w:footnote w:type="continuationSeparator" w:id="0">
    <w:p w:rsidR="00000000" w:rsidRDefault="00964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F0E" w:rsidRDefault="00964923">
    <w:pPr>
      <w:pStyle w:val="Standard"/>
      <w:jc w:val="center"/>
    </w:pPr>
    <w:r>
      <w:rPr>
        <w:rFonts w:ascii="Arial" w:hAnsi="Arial" w:cs="Arial"/>
        <w:b/>
        <w:noProof/>
        <w:sz w:val="18"/>
        <w:szCs w:val="18"/>
        <w:lang w:eastAsia="pt-BR" w:bidi="ar-SA"/>
      </w:rPr>
      <w:drawing>
        <wp:inline distT="0" distB="0" distL="0" distR="0">
          <wp:extent cx="465484" cy="474482"/>
          <wp:effectExtent l="0" t="0" r="0" b="1768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5484" cy="47448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F6F0E" w:rsidRDefault="00964923">
    <w:pPr>
      <w:pStyle w:val="Standard"/>
      <w:jc w:val="center"/>
      <w:rPr>
        <w:rFonts w:ascii="Arial" w:hAnsi="Arial" w:cs="Arial"/>
        <w:b/>
        <w:sz w:val="18"/>
        <w:szCs w:val="18"/>
      </w:rPr>
    </w:pPr>
  </w:p>
  <w:p w:rsidR="009F6F0E" w:rsidRDefault="00964923">
    <w:pPr>
      <w:pStyle w:val="Standard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PREFEITURA MUNICIPAL DE MACEIÓ</w:t>
    </w:r>
  </w:p>
  <w:p w:rsidR="009F6F0E" w:rsidRDefault="00964923">
    <w:pPr>
      <w:pStyle w:val="Standard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SECRETARIA MUNICIPAL DE SAÚDE</w:t>
    </w:r>
  </w:p>
  <w:p w:rsidR="009F6F0E" w:rsidRDefault="00964923">
    <w:pPr>
      <w:pStyle w:val="Standard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DIRETORIA DE VIGILÂNCIA EM SAÚDE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C1BD6"/>
    <w:multiLevelType w:val="multilevel"/>
    <w:tmpl w:val="3CB6A15C"/>
    <w:styleLink w:val="WW8Num2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D6359EA"/>
    <w:multiLevelType w:val="multilevel"/>
    <w:tmpl w:val="4E2E9EE6"/>
    <w:styleLink w:val="WW8Num4"/>
    <w:lvl w:ilvl="0">
      <w:start w:val="1"/>
      <w:numFmt w:val="lowerLetter"/>
      <w:lvlText w:val="%1)"/>
      <w:lvlJc w:val="left"/>
      <w:rPr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FF0133C"/>
    <w:multiLevelType w:val="multilevel"/>
    <w:tmpl w:val="31A60F38"/>
    <w:styleLink w:val="WW8Num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69732E33"/>
    <w:multiLevelType w:val="multilevel"/>
    <w:tmpl w:val="1A84B054"/>
    <w:styleLink w:val="WW8Num3"/>
    <w:lvl w:ilvl="0">
      <w:start w:val="1"/>
      <w:numFmt w:val="upperRoman"/>
      <w:lvlText w:val="%1."/>
      <w:lvlJc w:val="right"/>
      <w:rPr>
        <w:b/>
        <w:bCs/>
        <w:sz w:val="22"/>
        <w:szCs w:val="22"/>
        <w:lang w:val="pt-BR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76727"/>
    <w:rsid w:val="00276727"/>
    <w:rsid w:val="0096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43EAB-183D-4253-BA13-03A318E0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grafodaLista">
    <w:name w:val="List Paragraph"/>
    <w:basedOn w:val="Standard"/>
    <w:pPr>
      <w:ind w:left="720"/>
    </w:pPr>
    <w:rPr>
      <w:rFonts w:ascii="Times New Roman" w:eastAsia="Times New Roman" w:hAnsi="Times New Roman" w:cs="Times New Roman"/>
      <w:color w:val="00000A"/>
    </w:rPr>
  </w:style>
  <w:style w:type="paragraph" w:styleId="NormalWeb">
    <w:name w:val="Normal (Web)"/>
    <w:basedOn w:val="Standard"/>
    <w:pPr>
      <w:spacing w:before="100" w:after="100"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Character20style">
    <w:name w:val="Character_20_style"/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b/>
      <w:bCs/>
      <w:sz w:val="22"/>
      <w:szCs w:val="22"/>
    </w:rPr>
  </w:style>
  <w:style w:type="character" w:customStyle="1" w:styleId="WW8Num3z0">
    <w:name w:val="WW8Num3z0"/>
    <w:rPr>
      <w:b/>
      <w:bCs/>
      <w:sz w:val="22"/>
      <w:szCs w:val="22"/>
      <w:lang w:val="pt-BR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rPr>
      <w:rFonts w:ascii="Tahoma" w:hAnsi="Tahoma" w:cs="Mangal"/>
      <w:sz w:val="16"/>
      <w:szCs w:val="14"/>
    </w:rPr>
  </w:style>
  <w:style w:type="numbering" w:customStyle="1" w:styleId="WW8Num4">
    <w:name w:val="WW8Num4"/>
    <w:basedOn w:val="Semlista"/>
    <w:pPr>
      <w:numPr>
        <w:numId w:val="1"/>
      </w:numPr>
    </w:pPr>
  </w:style>
  <w:style w:type="numbering" w:customStyle="1" w:styleId="WW8Num9">
    <w:name w:val="WW8Num9"/>
    <w:basedOn w:val="Semlista"/>
    <w:pPr>
      <w:numPr>
        <w:numId w:val="2"/>
      </w:numPr>
    </w:pPr>
  </w:style>
  <w:style w:type="numbering" w:customStyle="1" w:styleId="WW8Num2">
    <w:name w:val="WW8Num2"/>
    <w:basedOn w:val="Semlista"/>
    <w:pPr>
      <w:numPr>
        <w:numId w:val="3"/>
      </w:numPr>
    </w:pPr>
  </w:style>
  <w:style w:type="numbering" w:customStyle="1" w:styleId="WW8Num3">
    <w:name w:val="WW8Num3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2934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Cristina Barbosa</cp:lastModifiedBy>
  <cp:revision>2</cp:revision>
  <cp:lastPrinted>2019-08-29T18:51:00Z</cp:lastPrinted>
  <dcterms:created xsi:type="dcterms:W3CDTF">2019-09-11T12:00:00Z</dcterms:created>
  <dcterms:modified xsi:type="dcterms:W3CDTF">2019-09-11T12:00:00Z</dcterms:modified>
</cp:coreProperties>
</file>