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A2" w:rsidRDefault="00ED74A2" w:rsidP="00ED74A2">
      <w:pPr>
        <w:pStyle w:val="SemEspaamento"/>
      </w:pPr>
      <w:bookmarkStart w:id="0" w:name="_GoBack"/>
      <w:bookmarkEnd w:id="0"/>
    </w:p>
    <w:p w:rsidR="00ED74A2" w:rsidRDefault="00ED74A2" w:rsidP="00ED74A2">
      <w:pPr>
        <w:pStyle w:val="SemEspaamento"/>
      </w:pPr>
    </w:p>
    <w:p w:rsidR="006D3074" w:rsidRPr="0097100B" w:rsidRDefault="006D3074" w:rsidP="00ED74A2">
      <w:pPr>
        <w:pStyle w:val="SemEspaamento"/>
      </w:pPr>
      <w:r w:rsidRPr="0097100B">
        <w:t>TERMO DE REFERÊNCIA</w:t>
      </w:r>
    </w:p>
    <w:p w:rsidR="00243785" w:rsidRPr="0097100B" w:rsidRDefault="00243785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4.95pt;width:430.3pt;height:0;z-index:251658240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8D5452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1.1. </w:t>
      </w:r>
      <w:r w:rsidRPr="0097100B">
        <w:rPr>
          <w:rFonts w:asciiTheme="majorHAnsi" w:hAnsiTheme="majorHAnsi" w:cs="Tahoma"/>
          <w:iCs/>
        </w:rPr>
        <w:t>O presente Termo de Referência tem por escopo descrever a aq</w:t>
      </w:r>
      <w:r>
        <w:rPr>
          <w:rFonts w:asciiTheme="majorHAnsi" w:hAnsiTheme="majorHAnsi" w:cs="Tahoma"/>
          <w:iCs/>
        </w:rPr>
        <w:t xml:space="preserve">uisição de 50M de mangueira </w:t>
      </w:r>
      <w:r w:rsidR="005A5843">
        <w:rPr>
          <w:rFonts w:asciiTheme="majorHAnsi" w:hAnsiTheme="majorHAnsi" w:cs="Tahoma"/>
          <w:iCs/>
        </w:rPr>
        <w:t>3/4</w:t>
      </w:r>
      <w:r>
        <w:rPr>
          <w:rFonts w:asciiTheme="majorHAnsi" w:hAnsiTheme="majorHAnsi" w:cs="Tahoma"/>
          <w:iCs/>
        </w:rPr>
        <w:t>’ pressão 3000 PSI para a bomba d’água,</w:t>
      </w:r>
      <w:r w:rsidR="006D3074" w:rsidRPr="0097100B">
        <w:rPr>
          <w:rFonts w:asciiTheme="majorHAnsi" w:hAnsiTheme="majorHAnsi" w:cs="Tahoma"/>
          <w:iCs/>
        </w:rPr>
        <w:t xml:space="preserve">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="006D3074"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29" type="#_x0000_t32" style="position:absolute;left:0;text-align:left;margin-left:.75pt;margin-top:15.15pt;width:426.85pt;height:0;z-index:251659264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</w:t>
      </w:r>
      <w:r w:rsidR="008D5452" w:rsidRPr="0097100B">
        <w:rPr>
          <w:rFonts w:asciiTheme="majorHAnsi" w:hAnsiTheme="majorHAnsi" w:cs="Tahoma"/>
          <w:iCs/>
        </w:rPr>
        <w:t>Dar subsídios para permitir a contratação de pessoa jurídica para aq</w:t>
      </w:r>
      <w:r w:rsidR="00FE5DCC">
        <w:rPr>
          <w:rFonts w:asciiTheme="majorHAnsi" w:hAnsiTheme="majorHAnsi" w:cs="Tahoma"/>
          <w:iCs/>
        </w:rPr>
        <w:t>uisição de 50M de mangueira 3/4</w:t>
      </w:r>
      <w:r w:rsidR="008D5452">
        <w:rPr>
          <w:rFonts w:asciiTheme="majorHAnsi" w:hAnsiTheme="majorHAnsi" w:cs="Tahoma"/>
          <w:iCs/>
        </w:rPr>
        <w:t>’ pressão 3000 PSI para a bomba d’água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0" type="#_x0000_t32" style="position:absolute;left:0;text-align:left;margin-left:.75pt;margin-top:16.6pt;width:426.85pt;height:0;z-index:251660288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150B9D" w:rsidRDefault="006D3074" w:rsidP="00150B9D"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</w:t>
      </w:r>
      <w:r w:rsidR="00586266">
        <w:rPr>
          <w:rFonts w:asciiTheme="majorHAnsi" w:hAnsiTheme="majorHAnsi" w:cs="Tahoma"/>
          <w:iCs/>
        </w:rPr>
        <w:t>justificasse pela má condição da mangueira existente nesta superintendência já que este objeto é de suma importância para a manutenção predial e veicular uma vez que a mangueira é usada na limpeza do pátio, estacionamento, limpeza das janelas, toldos, lavagem dos veículos</w:t>
      </w:r>
      <w:r w:rsidR="00586266">
        <w:t>, dentre outras atividades.</w:t>
      </w:r>
    </w:p>
    <w:p w:rsidR="00D10558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1" type="#_x0000_t32" style="position:absolute;left:0;text-align:left;margin-left:.75pt;margin-top:19.2pt;width:422.8pt;height:0;z-index:251661312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8D5452" w:rsidRPr="0097100B">
        <w:rPr>
          <w:rFonts w:asciiTheme="majorHAnsi" w:hAnsiTheme="majorHAnsi" w:cs="Tahoma"/>
          <w:iCs/>
        </w:rPr>
        <w:t>aq</w:t>
      </w:r>
      <w:r w:rsidR="008D5452">
        <w:rPr>
          <w:rFonts w:asciiTheme="majorHAnsi" w:hAnsiTheme="majorHAnsi" w:cs="Tahoma"/>
          <w:iCs/>
        </w:rPr>
        <w:t>uisição de 50M de mangueira</w:t>
      </w:r>
      <w:r w:rsidR="00FE5DCC">
        <w:rPr>
          <w:rFonts w:asciiTheme="majorHAnsi" w:hAnsiTheme="majorHAnsi" w:cs="Tahoma"/>
          <w:iCs/>
        </w:rPr>
        <w:t xml:space="preserve"> 3/4</w:t>
      </w:r>
      <w:r w:rsidR="008D5452">
        <w:rPr>
          <w:rFonts w:asciiTheme="majorHAnsi" w:hAnsiTheme="majorHAnsi" w:cs="Tahoma"/>
          <w:iCs/>
        </w:rPr>
        <w:t>’ pressão 3000 PSI para a bomba d’água</w:t>
      </w:r>
      <w:r w:rsidR="000671F7" w:rsidRPr="0097100B">
        <w:rPr>
          <w:rFonts w:asciiTheme="majorHAnsi" w:hAnsiTheme="majorHAnsi" w:cs="Tahoma"/>
          <w:iCs/>
        </w:rPr>
        <w:t xml:space="preserve">,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2" type="#_x0000_t32" style="position:absolute;left:0;text-align:left;margin-left:.75pt;margin-top:15.5pt;width:430.3pt;height:0;z-index:251662336" o:connectortype="straight"/>
        </w:pic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8D5452" w:rsidRPr="0097100B">
        <w:rPr>
          <w:rFonts w:asciiTheme="majorHAnsi" w:hAnsiTheme="majorHAnsi" w:cs="Tahoma"/>
          <w:iCs/>
        </w:rPr>
        <w:t>aq</w:t>
      </w:r>
      <w:r w:rsidR="008D5452">
        <w:rPr>
          <w:rFonts w:asciiTheme="majorHAnsi" w:hAnsiTheme="majorHAnsi" w:cs="Tahoma"/>
          <w:iCs/>
        </w:rPr>
        <w:t>uisição de 50M de mangueira</w:t>
      </w:r>
      <w:r w:rsidR="00FE5DCC">
        <w:rPr>
          <w:rFonts w:asciiTheme="majorHAnsi" w:hAnsiTheme="majorHAnsi" w:cs="Tahoma"/>
          <w:iCs/>
        </w:rPr>
        <w:t xml:space="preserve"> 3/4</w:t>
      </w:r>
      <w:r w:rsidR="008D5452">
        <w:rPr>
          <w:rFonts w:asciiTheme="majorHAnsi" w:hAnsiTheme="majorHAnsi" w:cs="Tahoma"/>
          <w:iCs/>
        </w:rPr>
        <w:t>’ pressão 3000 PSI para a bomba d’água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DE11F3" w:rsidRDefault="00F34347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6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FE5DCC" w:rsidRPr="0097100B" w:rsidRDefault="00FE5DCC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3" type="#_x0000_t32" style="position:absolute;left:0;text-align:left;margin-left:1.35pt;margin-top:15.2pt;width:422.8pt;height:0;z-index:251663360" o:connectortype="straight"/>
        </w:pict>
      </w:r>
      <w:r w:rsidR="00F34347" w:rsidRPr="0097100B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F34347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7</w:t>
      </w:r>
      <w:r w:rsidR="006D3074" w:rsidRPr="0097100B">
        <w:rPr>
          <w:rFonts w:asciiTheme="majorHAnsi" w:hAnsiTheme="majorHAnsi" w:cs="Tahoma"/>
          <w:iCs/>
        </w:rPr>
        <w:t xml:space="preserve">.1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8D5452">
        <w:rPr>
          <w:rFonts w:asciiTheme="majorHAnsi" w:hAnsiTheme="majorHAnsi" w:cs="Tahoma"/>
          <w:iCs/>
        </w:rPr>
        <w:t>de 50M de mangueira</w:t>
      </w:r>
      <w:r w:rsidR="00FE5DCC">
        <w:rPr>
          <w:rFonts w:asciiTheme="majorHAnsi" w:hAnsiTheme="majorHAnsi" w:cs="Tahoma"/>
          <w:iCs/>
        </w:rPr>
        <w:t xml:space="preserve"> 3/4</w:t>
      </w:r>
      <w:r w:rsidR="008D5452">
        <w:rPr>
          <w:rFonts w:asciiTheme="majorHAnsi" w:hAnsiTheme="majorHAnsi" w:cs="Tahoma"/>
          <w:iCs/>
        </w:rPr>
        <w:t>’ pressão 3000 PSI para a bomba d’água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417304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4" type="#_x0000_t32" style="position:absolute;left:0;text-align:left;margin-left:1.35pt;margin-top:14.55pt;width:429.7pt;height:0;z-index:251664384" o:connectortype="straight"/>
        </w:pict>
      </w:r>
      <w:r w:rsidR="00F34347" w:rsidRPr="0097100B">
        <w:rPr>
          <w:rFonts w:asciiTheme="majorHAnsi" w:hAnsiTheme="majorHAnsi" w:cs="Tahoma"/>
          <w:b/>
          <w:iCs/>
        </w:rPr>
        <w:t>8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D3074" w:rsidRPr="0097100B" w:rsidRDefault="00D10558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6D3074" w:rsidRDefault="007175FA" w:rsidP="00D10558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8D5452">
        <w:rPr>
          <w:rFonts w:asciiTheme="majorHAnsi" w:hAnsiTheme="majorHAnsi" w:cs="Tahoma"/>
          <w:iCs/>
        </w:rPr>
        <w:t>50M de mangueira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443BEB" w:rsidRDefault="00443BEB" w:rsidP="00FE5DC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</w:rPr>
        <w:t xml:space="preserve">Mangueira </w:t>
      </w:r>
      <w:r w:rsidR="00FE5DCC" w:rsidRPr="00FE5DCC">
        <w:rPr>
          <w:rFonts w:asciiTheme="majorHAnsi" w:hAnsiTheme="majorHAnsi" w:cs="Tahoma"/>
          <w:b/>
          <w:iCs/>
        </w:rPr>
        <w:t>3/4</w:t>
      </w:r>
      <w:r w:rsidR="008D5452" w:rsidRPr="00FE5DCC">
        <w:rPr>
          <w:rFonts w:asciiTheme="majorHAnsi" w:hAnsiTheme="majorHAnsi" w:cs="Tahoma"/>
          <w:b/>
          <w:iCs/>
        </w:rPr>
        <w:t xml:space="preserve">’ </w:t>
      </w:r>
    </w:p>
    <w:p w:rsidR="008D5452" w:rsidRDefault="00443BEB" w:rsidP="00FE5DC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ahoma"/>
          <w:b/>
          <w:iCs/>
        </w:rPr>
      </w:pPr>
      <w:r w:rsidRPr="00FE5DCC">
        <w:rPr>
          <w:rFonts w:asciiTheme="majorHAnsi" w:hAnsiTheme="majorHAnsi" w:cs="Tahoma"/>
          <w:b/>
          <w:iCs/>
        </w:rPr>
        <w:t>Pressão</w:t>
      </w:r>
      <w:r w:rsidR="008D5452" w:rsidRPr="00FE5DCC">
        <w:rPr>
          <w:rFonts w:asciiTheme="majorHAnsi" w:hAnsiTheme="majorHAnsi" w:cs="Tahoma"/>
          <w:b/>
          <w:iCs/>
        </w:rPr>
        <w:t xml:space="preserve"> 3000 PSI para a bomba d’</w:t>
      </w:r>
      <w:r w:rsidRPr="00FE5DCC">
        <w:rPr>
          <w:rFonts w:asciiTheme="majorHAnsi" w:hAnsiTheme="majorHAnsi" w:cs="Tahoma"/>
          <w:b/>
          <w:iCs/>
        </w:rPr>
        <w:t>água</w:t>
      </w:r>
      <w:r>
        <w:rPr>
          <w:rFonts w:asciiTheme="majorHAnsi" w:hAnsiTheme="majorHAnsi" w:cs="Tahoma"/>
          <w:b/>
          <w:iCs/>
        </w:rPr>
        <w:t>.</w:t>
      </w:r>
    </w:p>
    <w:p w:rsidR="00443BEB" w:rsidRPr="00443BEB" w:rsidRDefault="00443BEB" w:rsidP="00443BEB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</w:rPr>
        <w:t>02 espigões 3/4x3/4 canal</w:t>
      </w:r>
      <w:r w:rsidRPr="00443BEB">
        <w:rPr>
          <w:rFonts w:asciiTheme="majorHAnsi" w:hAnsiTheme="majorHAnsi" w:cs="Tahoma"/>
          <w:b/>
          <w:iCs/>
        </w:rPr>
        <w:t xml:space="preserve"> </w:t>
      </w:r>
    </w:p>
    <w:p w:rsidR="00443BEB" w:rsidRPr="00FE5DCC" w:rsidRDefault="00443BEB" w:rsidP="00FE5DCC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</w:rPr>
        <w:t>02 Abraçadeiras latão 3/4</w:t>
      </w:r>
    </w:p>
    <w:p w:rsidR="008D5452" w:rsidRPr="0097100B" w:rsidRDefault="008D5452" w:rsidP="00D10558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3634740</wp:posOffset>
            </wp:positionH>
            <wp:positionV relativeFrom="margin">
              <wp:posOffset>3181985</wp:posOffset>
            </wp:positionV>
            <wp:extent cx="2211705" cy="2201545"/>
            <wp:effectExtent l="19050" t="0" r="0" b="0"/>
            <wp:wrapSquare wrapText="bothSides"/>
            <wp:docPr id="3" name="Imagem 2" descr="32118130_1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18130_1G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iCs/>
          <w:noProof/>
          <w:lang w:eastAsia="pt-BR"/>
        </w:rPr>
        <w:drawing>
          <wp:inline distT="0" distB="0" distL="0" distR="0">
            <wp:extent cx="2892399" cy="2449181"/>
            <wp:effectExtent l="19050" t="0" r="3201" b="0"/>
            <wp:docPr id="2" name="Imagem 1" descr="32113150_1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113150_1G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2585" cy="24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785" w:rsidRPr="0097100B" w:rsidRDefault="00243785" w:rsidP="004122D2">
      <w:pPr>
        <w:pStyle w:val="SemEspaamento"/>
        <w:rPr>
          <w:rFonts w:asciiTheme="majorHAnsi" w:hAnsiTheme="majorHAnsi" w:cs="Tahoma"/>
          <w:iCs/>
        </w:rPr>
      </w:pPr>
    </w:p>
    <w:p w:rsidR="007910A1" w:rsidRPr="0097100B" w:rsidRDefault="00417304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5" type="#_x0000_t32" style="position:absolute;margin-left:1.35pt;margin-top:15.7pt;width:429.7pt;height:0;z-index:251665408" o:connectortype="straight"/>
        </w:pict>
      </w:r>
      <w:r w:rsidR="00662D26" w:rsidRPr="0097100B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.1. O pagamento</w:t>
      </w:r>
      <w:r w:rsidR="00D43D06">
        <w:rPr>
          <w:rFonts w:asciiTheme="majorHAnsi" w:hAnsiTheme="majorHAnsi" w:cs="Tahoma"/>
          <w:iCs/>
        </w:rPr>
        <w:t xml:space="preserve"> dos valores da aquisição </w:t>
      </w:r>
      <w:r w:rsidR="002B0EE5" w:rsidRPr="0097100B">
        <w:rPr>
          <w:rFonts w:asciiTheme="majorHAnsi" w:hAnsiTheme="majorHAnsi" w:cs="Tahoma"/>
          <w:iCs/>
        </w:rPr>
        <w:t>será efetuado</w:t>
      </w:r>
      <w:r w:rsidR="007910A1" w:rsidRPr="0097100B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97100B">
        <w:rPr>
          <w:rFonts w:asciiTheme="majorHAnsi" w:hAnsiTheme="majorHAnsi" w:cs="Tahoma"/>
          <w:iCs/>
        </w:rPr>
        <w:t>aquisição do material,</w:t>
      </w:r>
      <w:r w:rsidR="002B0EE5"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97100B">
        <w:rPr>
          <w:rFonts w:asciiTheme="majorHAnsi" w:hAnsiTheme="majorHAnsi" w:cs="Tahoma"/>
          <w:iCs/>
        </w:rPr>
        <w:t>tar a discriminação dos bens adquiridos</w:t>
      </w:r>
      <w:r w:rsidR="007910A1" w:rsidRPr="0097100B">
        <w:rPr>
          <w:rFonts w:asciiTheme="majorHAnsi" w:hAnsiTheme="majorHAnsi" w:cs="Tahoma"/>
          <w:iCs/>
        </w:rPr>
        <w:t>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lastRenderedPageBreak/>
        <w:t>9</w:t>
      </w:r>
      <w:r w:rsidR="007910A1" w:rsidRPr="0097100B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9</w:t>
      </w:r>
      <w:r w:rsidR="007910A1" w:rsidRPr="0097100B">
        <w:rPr>
          <w:rFonts w:asciiTheme="majorHAnsi" w:hAnsiTheme="majorHAnsi" w:cs="Tahoma"/>
          <w:iCs/>
        </w:rPr>
        <w:t>.5.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7910A1" w:rsidP="003C058B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417304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6" type="#_x0000_t32" style="position:absolute;margin-left:-.95pt;margin-top:15pt;width:426.8pt;height:0;z-index:251666432" o:connectortype="straight"/>
        </w:pict>
      </w:r>
      <w:r w:rsidR="00662D26" w:rsidRPr="0097100B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 A Contratada deverá assinar o contrato</w:t>
      </w:r>
      <w:r w:rsidR="00D43D06">
        <w:rPr>
          <w:rFonts w:asciiTheme="majorHAnsi" w:hAnsiTheme="majorHAnsi" w:cs="Tahoma"/>
          <w:iCs/>
        </w:rPr>
        <w:t xml:space="preserve"> (caso haja)</w:t>
      </w:r>
      <w:r w:rsidR="007910A1" w:rsidRPr="0097100B">
        <w:rPr>
          <w:rFonts w:asciiTheme="majorHAnsi" w:hAnsiTheme="majorHAnsi" w:cs="Tahoma"/>
          <w:iCs/>
        </w:rPr>
        <w:t xml:space="preserve"> em até 05 (cinco) dias consecutivos </w:t>
      </w:r>
      <w:r w:rsidR="00D43D06" w:rsidRPr="0097100B">
        <w:rPr>
          <w:rFonts w:asciiTheme="majorHAnsi" w:hAnsiTheme="majorHAnsi" w:cs="Tahoma"/>
          <w:iCs/>
        </w:rPr>
        <w:t>depois de</w:t>
      </w:r>
      <w:r w:rsidR="007910A1" w:rsidRPr="0097100B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.1.1.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</w:t>
      </w:r>
      <w:r w:rsidR="007910A1" w:rsidRPr="0097100B">
        <w:rPr>
          <w:rFonts w:asciiTheme="majorHAnsi" w:hAnsiTheme="majorHAnsi" w:cs="Tahoma"/>
          <w:iCs/>
        </w:rPr>
        <w:t>.</w:t>
      </w:r>
      <w:r w:rsidRPr="0097100B">
        <w:rPr>
          <w:rFonts w:asciiTheme="majorHAnsi" w:hAnsiTheme="majorHAnsi" w:cs="Tahoma"/>
          <w:iCs/>
        </w:rPr>
        <w:t>1.</w:t>
      </w:r>
      <w:r w:rsidR="007910A1" w:rsidRPr="0097100B">
        <w:rPr>
          <w:rFonts w:asciiTheme="majorHAnsi" w:hAnsiTheme="majorHAnsi" w:cs="Tahoma"/>
          <w:iCs/>
        </w:rPr>
        <w:t>2. Fica esclarecido que o Município poderá introduzir no contrato as alterações julgadas necessárias para assegurar maior garantia da prestação dos serviços do objeto, bem como aumentá-lo em seu</w:t>
      </w:r>
      <w:r w:rsidR="003C058B" w:rsidRPr="0097100B">
        <w:rPr>
          <w:rFonts w:asciiTheme="majorHAnsi" w:hAnsiTheme="majorHAnsi" w:cs="Tahoma"/>
          <w:iCs/>
        </w:rPr>
        <w:t xml:space="preserve">s quantitativos, mediante Termo </w:t>
      </w:r>
      <w:r w:rsidR="00D43D06" w:rsidRPr="0097100B">
        <w:rPr>
          <w:rFonts w:asciiTheme="majorHAnsi" w:hAnsiTheme="majorHAnsi" w:cs="Tahoma"/>
          <w:iCs/>
        </w:rPr>
        <w:t>Aditivo obedecido</w:t>
      </w:r>
      <w:r w:rsidR="007910A1" w:rsidRPr="0097100B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97100B" w:rsidRDefault="00662D26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10.1.3</w:t>
      </w:r>
      <w:r w:rsidR="007910A1" w:rsidRPr="0097100B">
        <w:rPr>
          <w:rFonts w:asciiTheme="majorHAnsi" w:hAnsiTheme="majorHAnsi" w:cs="Tahoma"/>
          <w:iCs/>
        </w:rPr>
        <w:t>. A prestação dos serviços, objeto deste Termo serão prestados após o atendimento de todas as condições estabelecidas no mesmo e demais documentos que o integrarão.</w:t>
      </w:r>
    </w:p>
    <w:p w:rsidR="007910A1" w:rsidRPr="0097100B" w:rsidRDefault="007910A1" w:rsidP="00662D26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97100B" w:rsidRDefault="00417304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7" type="#_x0000_t32" style="position:absolute;margin-left:3.1pt;margin-top:17.1pt;width:422.75pt;height:0;z-index:251667456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Default="007910A1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2</w:t>
      </w:r>
      <w:r w:rsidRPr="0097100B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854487" w:rsidRPr="0097100B" w:rsidRDefault="00FE5DCC" w:rsidP="00D1055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Bem</w:t>
      </w:r>
      <w:r w:rsidR="007910A1" w:rsidRPr="0097100B">
        <w:rPr>
          <w:rFonts w:asciiTheme="majorHAnsi" w:hAnsiTheme="majorHAnsi" w:cs="Tahoma"/>
          <w:iCs/>
        </w:rPr>
        <w:t xml:space="preserve"> como nas cláusulas contratuais, </w:t>
      </w:r>
      <w:r w:rsidRPr="0097100B">
        <w:rPr>
          <w:rFonts w:asciiTheme="majorHAnsi" w:hAnsiTheme="majorHAnsi" w:cs="Tahoma"/>
          <w:iCs/>
        </w:rPr>
        <w:t>implicarão</w:t>
      </w:r>
      <w:r w:rsidR="007910A1" w:rsidRPr="0097100B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D10558" w:rsidRPr="0097100B" w:rsidRDefault="00D10558" w:rsidP="00D10558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417304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8" type="#_x0000_t32" style="position:absolute;margin-left:-.95pt;margin-top:18.1pt;width:430.85pt;height:0;z-index:251668480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854487" w:rsidRDefault="007910A1" w:rsidP="00D43D06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3</w:t>
      </w:r>
      <w:r w:rsidRPr="0097100B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97100B">
        <w:rPr>
          <w:rFonts w:asciiTheme="majorHAnsi" w:hAnsiTheme="majorHAnsi" w:cs="Tahoma"/>
          <w:iCs/>
        </w:rPr>
        <w:t>fraude fiscal garantida</w:t>
      </w:r>
      <w:r w:rsidRPr="0097100B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97100B">
        <w:rPr>
          <w:rFonts w:asciiTheme="majorHAnsi" w:hAnsiTheme="majorHAnsi" w:cs="Tahoma"/>
          <w:iCs/>
        </w:rPr>
        <w:t>impedido</w:t>
      </w:r>
      <w:r w:rsidRPr="0097100B">
        <w:rPr>
          <w:rFonts w:asciiTheme="majorHAnsi" w:hAnsiTheme="majorHAnsi" w:cs="Tahoma"/>
          <w:iCs/>
        </w:rPr>
        <w:t xml:space="preserve"> de licitar e contratar com a Administração, pelo prazo de até 05 (cinco) anos, enquanto, </w:t>
      </w:r>
      <w:r w:rsidRPr="0097100B">
        <w:rPr>
          <w:rFonts w:asciiTheme="majorHAnsi" w:hAnsiTheme="majorHAnsi" w:cs="Tahoma"/>
          <w:iCs/>
        </w:rPr>
        <w:lastRenderedPageBreak/>
        <w:t>perdurarem os motivos determinantes da punição ou até que seja promovida a reabilitação perante a própria autoridade que aplicou a penalidade.</w:t>
      </w:r>
    </w:p>
    <w:p w:rsidR="00D43D06" w:rsidRDefault="00D43D06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8D5452" w:rsidRDefault="008D5452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8D5452" w:rsidRDefault="008D5452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FE5DCC" w:rsidRDefault="00FE5DCC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FE5DCC" w:rsidRPr="00D43D06" w:rsidRDefault="00FE5DCC" w:rsidP="00D43D06">
      <w:pPr>
        <w:pStyle w:val="PargrafodaLista"/>
        <w:jc w:val="both"/>
        <w:rPr>
          <w:rFonts w:asciiTheme="majorHAnsi" w:hAnsiTheme="majorHAnsi" w:cs="Tahoma"/>
          <w:iCs/>
        </w:rPr>
      </w:pPr>
    </w:p>
    <w:p w:rsidR="007910A1" w:rsidRPr="0097100B" w:rsidRDefault="00417304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39" type="#_x0000_t32" style="position:absolute;margin-left:.2pt;margin-top:17.35pt;width:430.25pt;height:0;z-index:251669504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4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97100B" w:rsidRDefault="007910A1" w:rsidP="007910A1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4</w:t>
      </w:r>
      <w:r w:rsidRPr="0097100B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6D3074" w:rsidRPr="00D43D06" w:rsidRDefault="007910A1" w:rsidP="00F34347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ahoma"/>
          <w:b/>
          <w:iCs/>
        </w:rPr>
      </w:pPr>
      <w:r w:rsidRPr="0097100B">
        <w:rPr>
          <w:rFonts w:asciiTheme="majorHAnsi" w:hAnsiTheme="majorHAnsi" w:cs="Tahoma"/>
          <w:iCs/>
        </w:rPr>
        <w:t>1</w:t>
      </w:r>
      <w:r w:rsidR="00662D26" w:rsidRPr="0097100B">
        <w:rPr>
          <w:rFonts w:asciiTheme="majorHAnsi" w:hAnsiTheme="majorHAnsi" w:cs="Tahoma"/>
          <w:iCs/>
        </w:rPr>
        <w:t>4</w:t>
      </w:r>
      <w:r w:rsidRPr="0097100B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97100B">
        <w:rPr>
          <w:rFonts w:asciiTheme="majorHAnsi" w:hAnsiTheme="majorHAnsi" w:cs="Tahoma"/>
          <w:iCs/>
        </w:rPr>
        <w:t>12</w:t>
      </w:r>
      <w:r w:rsidRPr="0097100B">
        <w:rPr>
          <w:rFonts w:asciiTheme="majorHAnsi" w:hAnsiTheme="majorHAnsi" w:cs="Tahoma"/>
          <w:iCs/>
        </w:rPr>
        <w:t xml:space="preserve"> (</w:t>
      </w:r>
      <w:r w:rsidR="00243785" w:rsidRPr="0097100B">
        <w:rPr>
          <w:rFonts w:asciiTheme="majorHAnsi" w:hAnsiTheme="majorHAnsi" w:cs="Tahoma"/>
          <w:iCs/>
        </w:rPr>
        <w:t>doze</w:t>
      </w:r>
      <w:r w:rsidRPr="0097100B">
        <w:rPr>
          <w:rFonts w:asciiTheme="majorHAnsi" w:hAnsiTheme="majorHAnsi" w:cs="Tahoma"/>
          <w:iCs/>
        </w:rPr>
        <w:t xml:space="preserve">) </w:t>
      </w:r>
      <w:r w:rsidR="00243785" w:rsidRPr="0097100B">
        <w:rPr>
          <w:rFonts w:asciiTheme="majorHAnsi" w:hAnsiTheme="majorHAnsi" w:cs="Tahoma"/>
          <w:iCs/>
        </w:rPr>
        <w:t>meses</w:t>
      </w:r>
      <w:r w:rsidR="00854487" w:rsidRPr="0097100B">
        <w:rPr>
          <w:rFonts w:asciiTheme="majorHAnsi" w:hAnsiTheme="majorHAnsi" w:cs="Tahoma"/>
          <w:iCs/>
        </w:rPr>
        <w:t>, podendo ser prorrogado</w:t>
      </w:r>
      <w:r w:rsidR="00243785" w:rsidRPr="0097100B">
        <w:rPr>
          <w:rFonts w:asciiTheme="majorHAnsi" w:hAnsiTheme="majorHAnsi" w:cs="Tahoma"/>
          <w:iCs/>
        </w:rPr>
        <w:t>.</w:t>
      </w:r>
    </w:p>
    <w:p w:rsidR="00D43D06" w:rsidRPr="00D43D06" w:rsidRDefault="00D43D06" w:rsidP="00D43D06">
      <w:pPr>
        <w:pStyle w:val="PargrafodaLista"/>
        <w:jc w:val="both"/>
        <w:rPr>
          <w:rFonts w:asciiTheme="majorHAnsi" w:hAnsiTheme="majorHAnsi" w:cs="Tahoma"/>
          <w:b/>
          <w:iCs/>
        </w:rPr>
      </w:pPr>
    </w:p>
    <w:p w:rsidR="007910A1" w:rsidRPr="0097100B" w:rsidRDefault="00417304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w:pict>
          <v:shape id="_x0000_s1040" type="#_x0000_t32" style="position:absolute;margin-left:-3.85pt;margin-top:16.95pt;width:437.2pt;height:.6pt;flip:y;z-index:251670528" o:connectortype="straight"/>
        </w:pic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662D26" w:rsidRPr="0097100B">
        <w:rPr>
          <w:rFonts w:asciiTheme="majorHAnsi" w:hAnsiTheme="majorHAnsi" w:cs="Tahoma"/>
          <w:b/>
          <w:iCs/>
        </w:rPr>
        <w:t>5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243785" w:rsidRPr="0097100B" w:rsidRDefault="00FE5DCC" w:rsidP="007910A1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   15.1</w:t>
      </w:r>
      <w:r w:rsidR="005D481E" w:rsidRPr="0097100B">
        <w:rPr>
          <w:rFonts w:asciiTheme="majorHAnsi" w:hAnsiTheme="majorHAnsi" w:cs="Tahoma"/>
          <w:iCs/>
        </w:rPr>
        <w:t xml:space="preserve"> </w:t>
      </w:r>
      <w:r w:rsidR="007910A1" w:rsidRPr="0097100B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97100B">
        <w:rPr>
          <w:rFonts w:asciiTheme="majorHAnsi" w:hAnsiTheme="majorHAnsi" w:cs="Tahoma"/>
          <w:iCs/>
        </w:rPr>
        <w:t>pelo elemento despesa</w:t>
      </w:r>
      <w:r w:rsidR="007910A1" w:rsidRPr="0097100B">
        <w:rPr>
          <w:rFonts w:asciiTheme="majorHAnsi" w:hAnsiTheme="majorHAnsi" w:cs="Tahoma"/>
          <w:iCs/>
        </w:rPr>
        <w:t xml:space="preserve"> </w:t>
      </w:r>
      <w:r w:rsidR="00854487" w:rsidRPr="0097100B">
        <w:rPr>
          <w:rFonts w:asciiTheme="majorHAnsi" w:hAnsiTheme="majorHAnsi" w:cs="Tahoma"/>
          <w:iCs/>
        </w:rPr>
        <w:t>a ser indicada pela Diretoria Administrativa Financeira deste Órgão.</w:t>
      </w: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7910A1" w:rsidRPr="0097100B" w:rsidRDefault="007910A1" w:rsidP="007910A1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.</w:t>
      </w:r>
    </w:p>
    <w:p w:rsidR="004116C7" w:rsidRPr="0097100B" w:rsidRDefault="004116C7" w:rsidP="00F34347">
      <w:pPr>
        <w:jc w:val="both"/>
        <w:rPr>
          <w:rFonts w:asciiTheme="majorHAnsi" w:hAnsiTheme="majorHAnsi" w:cs="Tahoma"/>
        </w:rPr>
      </w:pPr>
    </w:p>
    <w:p w:rsidR="006D3074" w:rsidRPr="0097100B" w:rsidRDefault="006D3074" w:rsidP="00F34347">
      <w:pPr>
        <w:jc w:val="both"/>
        <w:rPr>
          <w:rFonts w:asciiTheme="majorHAnsi" w:hAnsiTheme="majorHAnsi" w:cs="Tahoma"/>
        </w:rPr>
      </w:pPr>
    </w:p>
    <w:p w:rsidR="006D3074" w:rsidRPr="0097100B" w:rsidRDefault="006D3074" w:rsidP="00F34347">
      <w:pPr>
        <w:jc w:val="both"/>
        <w:rPr>
          <w:rFonts w:asciiTheme="majorHAnsi" w:hAnsiTheme="majorHAnsi" w:cs="Tahoma"/>
        </w:rPr>
      </w:pPr>
    </w:p>
    <w:sectPr w:rsidR="006D3074" w:rsidRPr="0097100B" w:rsidSect="00481F1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0F" w:rsidRDefault="00A9110F" w:rsidP="00D10558">
      <w:pPr>
        <w:spacing w:after="0" w:line="240" w:lineRule="auto"/>
      </w:pPr>
      <w:r>
        <w:separator/>
      </w:r>
    </w:p>
  </w:endnote>
  <w:endnote w:type="continuationSeparator" w:id="0">
    <w:p w:rsidR="00A9110F" w:rsidRDefault="00A9110F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0F" w:rsidRDefault="00A9110F" w:rsidP="00D10558">
      <w:pPr>
        <w:spacing w:after="0" w:line="240" w:lineRule="auto"/>
      </w:pPr>
      <w:r>
        <w:separator/>
      </w:r>
    </w:p>
  </w:footnote>
  <w:footnote w:type="continuationSeparator" w:id="0">
    <w:p w:rsidR="00A9110F" w:rsidRDefault="00A9110F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7C87"/>
    <w:multiLevelType w:val="hybridMultilevel"/>
    <w:tmpl w:val="CEC4EC50"/>
    <w:lvl w:ilvl="0" w:tplc="ED44DA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84230"/>
    <w:multiLevelType w:val="hybridMultilevel"/>
    <w:tmpl w:val="993624E8"/>
    <w:lvl w:ilvl="0" w:tplc="BFF25EF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D3074"/>
    <w:rsid w:val="00006421"/>
    <w:rsid w:val="00047A8D"/>
    <w:rsid w:val="000671F7"/>
    <w:rsid w:val="000B539D"/>
    <w:rsid w:val="000B63A8"/>
    <w:rsid w:val="000C6D2D"/>
    <w:rsid w:val="00100A98"/>
    <w:rsid w:val="0015033C"/>
    <w:rsid w:val="00150B9D"/>
    <w:rsid w:val="00162541"/>
    <w:rsid w:val="001C3D88"/>
    <w:rsid w:val="001D234B"/>
    <w:rsid w:val="001E29B4"/>
    <w:rsid w:val="001E780D"/>
    <w:rsid w:val="00243785"/>
    <w:rsid w:val="00271406"/>
    <w:rsid w:val="00271FFE"/>
    <w:rsid w:val="002A53BD"/>
    <w:rsid w:val="002B0EE5"/>
    <w:rsid w:val="002E44F8"/>
    <w:rsid w:val="003140DD"/>
    <w:rsid w:val="00383056"/>
    <w:rsid w:val="0038544E"/>
    <w:rsid w:val="0039204F"/>
    <w:rsid w:val="003C058B"/>
    <w:rsid w:val="003D44A9"/>
    <w:rsid w:val="004116C7"/>
    <w:rsid w:val="004122D2"/>
    <w:rsid w:val="00417304"/>
    <w:rsid w:val="00425828"/>
    <w:rsid w:val="00426FD4"/>
    <w:rsid w:val="0044033B"/>
    <w:rsid w:val="00443BEB"/>
    <w:rsid w:val="00481F19"/>
    <w:rsid w:val="004B562B"/>
    <w:rsid w:val="004C6EF4"/>
    <w:rsid w:val="004F0821"/>
    <w:rsid w:val="005015D3"/>
    <w:rsid w:val="005020BF"/>
    <w:rsid w:val="00536BD4"/>
    <w:rsid w:val="00537A86"/>
    <w:rsid w:val="005725C2"/>
    <w:rsid w:val="00586266"/>
    <w:rsid w:val="005A5843"/>
    <w:rsid w:val="005B2F55"/>
    <w:rsid w:val="005D36B3"/>
    <w:rsid w:val="005D481E"/>
    <w:rsid w:val="005D56E3"/>
    <w:rsid w:val="005F75AC"/>
    <w:rsid w:val="00600CA8"/>
    <w:rsid w:val="00610E77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910A1"/>
    <w:rsid w:val="007F42E1"/>
    <w:rsid w:val="007F51A6"/>
    <w:rsid w:val="00850018"/>
    <w:rsid w:val="0085193D"/>
    <w:rsid w:val="00854487"/>
    <w:rsid w:val="00895608"/>
    <w:rsid w:val="008C23C6"/>
    <w:rsid w:val="008C4A40"/>
    <w:rsid w:val="008D5452"/>
    <w:rsid w:val="008E0890"/>
    <w:rsid w:val="009207FD"/>
    <w:rsid w:val="0097100B"/>
    <w:rsid w:val="00973FFE"/>
    <w:rsid w:val="00996E9E"/>
    <w:rsid w:val="009A6465"/>
    <w:rsid w:val="009D01FA"/>
    <w:rsid w:val="009D27D0"/>
    <w:rsid w:val="00A05E2B"/>
    <w:rsid w:val="00A36B9C"/>
    <w:rsid w:val="00A621F6"/>
    <w:rsid w:val="00A9110F"/>
    <w:rsid w:val="00AA2843"/>
    <w:rsid w:val="00AA6518"/>
    <w:rsid w:val="00B50B01"/>
    <w:rsid w:val="00B575CB"/>
    <w:rsid w:val="00B71A83"/>
    <w:rsid w:val="00B7451D"/>
    <w:rsid w:val="00B9322E"/>
    <w:rsid w:val="00B95075"/>
    <w:rsid w:val="00BB1E3B"/>
    <w:rsid w:val="00BC6529"/>
    <w:rsid w:val="00C95BD3"/>
    <w:rsid w:val="00D10558"/>
    <w:rsid w:val="00D13B45"/>
    <w:rsid w:val="00D14D7D"/>
    <w:rsid w:val="00D32B88"/>
    <w:rsid w:val="00D43D06"/>
    <w:rsid w:val="00D70685"/>
    <w:rsid w:val="00D81D29"/>
    <w:rsid w:val="00D8496B"/>
    <w:rsid w:val="00DA0CDF"/>
    <w:rsid w:val="00DC536D"/>
    <w:rsid w:val="00DE11F3"/>
    <w:rsid w:val="00E3625C"/>
    <w:rsid w:val="00E563B2"/>
    <w:rsid w:val="00E62ACA"/>
    <w:rsid w:val="00E769DE"/>
    <w:rsid w:val="00E95BC5"/>
    <w:rsid w:val="00ED74A2"/>
    <w:rsid w:val="00F34347"/>
    <w:rsid w:val="00F42294"/>
    <w:rsid w:val="00F757AE"/>
    <w:rsid w:val="00F819B4"/>
    <w:rsid w:val="00F95FB8"/>
    <w:rsid w:val="00FD213F"/>
    <w:rsid w:val="00FE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4" type="connector" idref="#_x0000_s1029"/>
        <o:r id="V:Rule15" type="connector" idref="#_x0000_s1026"/>
        <o:r id="V:Rule16" type="connector" idref="#_x0000_s1037"/>
        <o:r id="V:Rule17" type="connector" idref="#_x0000_s1035"/>
        <o:r id="V:Rule18" type="connector" idref="#_x0000_s1032"/>
        <o:r id="V:Rule19" type="connector" idref="#_x0000_s1031"/>
        <o:r id="V:Rule20" type="connector" idref="#_x0000_s1036"/>
        <o:r id="V:Rule21" type="connector" idref="#_x0000_s1038"/>
        <o:r id="V:Rule22" type="connector" idref="#_x0000_s1040"/>
        <o:r id="V:Rule23" type="connector" idref="#_x0000_s1039"/>
        <o:r id="V:Rule24" type="connector" idref="#_x0000_s1033"/>
        <o:r id="V:Rule25" type="connector" idref="#_x0000_s1034"/>
        <o:r id="V:Rule2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D0D2-FCC3-41AC-AE47-2539E8A0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sarah</cp:lastModifiedBy>
  <cp:revision>4</cp:revision>
  <cp:lastPrinted>2019-08-28T15:06:00Z</cp:lastPrinted>
  <dcterms:created xsi:type="dcterms:W3CDTF">2019-08-28T15:06:00Z</dcterms:created>
  <dcterms:modified xsi:type="dcterms:W3CDTF">2019-09-11T15:26:00Z</dcterms:modified>
</cp:coreProperties>
</file>