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6B" w:rsidRDefault="000B59E6" w:rsidP="009F3C6B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="009F3C6B" w:rsidRPr="009E1D15"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9F3C6B" w:rsidRDefault="009F3C6B" w:rsidP="009F3C6B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9F3C6B" w:rsidRPr="002576B4" w:rsidRDefault="009F3C6B" w:rsidP="009F3C6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9F3C6B" w:rsidRPr="000B4728" w:rsidRDefault="009F3C6B" w:rsidP="009F3C6B">
      <w:pPr>
        <w:numPr>
          <w:ilvl w:val="1"/>
          <w:numId w:val="3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1F25">
        <w:rPr>
          <w:rFonts w:asciiTheme="minorHAnsi" w:hAnsiTheme="minorHAnsi"/>
          <w:sz w:val="22"/>
          <w:szCs w:val="22"/>
        </w:rPr>
        <w:t>Registro de Preços para futura e event</w:t>
      </w:r>
      <w:r w:rsidRPr="00D11F25">
        <w:rPr>
          <w:rFonts w:asciiTheme="minorHAnsi" w:hAnsiTheme="minorHAnsi" w:cstheme="minorHAnsi"/>
          <w:sz w:val="22"/>
          <w:szCs w:val="22"/>
        </w:rPr>
        <w:t xml:space="preserve">ual aquisição </w:t>
      </w:r>
      <w:r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Pr="0008354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Materiais de Construção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11F25">
        <w:rPr>
          <w:rFonts w:asciiTheme="minorHAnsi" w:hAnsiTheme="minorHAnsi"/>
          <w:sz w:val="22"/>
          <w:szCs w:val="22"/>
        </w:rPr>
        <w:t>atendimento aos</w:t>
      </w:r>
      <w:r w:rsidRPr="00AC6412">
        <w:rPr>
          <w:rFonts w:asciiTheme="minorHAnsi" w:hAnsiTheme="minorHAnsi"/>
          <w:sz w:val="22"/>
          <w:szCs w:val="22"/>
        </w:rPr>
        <w:t xml:space="preserve"> diversos Órgãos e Entidades da Administração Pública do Município de Maceió, nas especificações e quantidades constantes no Anexo I deste Termo de Referência.</w:t>
      </w:r>
    </w:p>
    <w:p w:rsidR="009F3C6B" w:rsidRPr="002324F9" w:rsidRDefault="009F3C6B" w:rsidP="009F3C6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6.592/2016.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>planejamento, coordenação e controle de procedimentos de compras centralizadas de serviços e materiais de uso comum para atendimento às demandas de todos os órgãos da Administração Pública Municipal.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9F3C6B" w:rsidRPr="00293BCE" w:rsidRDefault="009F3C6B" w:rsidP="009C5F7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293BCE"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Redução do número de licitações;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9F3C6B" w:rsidRPr="007D3529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frequentes do produto a ser licitado, diante de suas </w:t>
      </w:r>
      <w:r w:rsidRPr="007D3529">
        <w:rPr>
          <w:rFonts w:asciiTheme="minorHAnsi" w:hAnsiTheme="minorHAnsi"/>
          <w:sz w:val="22"/>
          <w:szCs w:val="22"/>
        </w:rPr>
        <w:t>características e natureza;</w:t>
      </w:r>
    </w:p>
    <w:p w:rsidR="009F3C6B" w:rsidRPr="007C09A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7D3529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7C09AB">
        <w:rPr>
          <w:rFonts w:asciiTheme="minorHAnsi" w:hAnsiTheme="minorHAnsi"/>
          <w:sz w:val="22"/>
          <w:szCs w:val="22"/>
        </w:rPr>
        <w:t>adquirido.</w:t>
      </w:r>
    </w:p>
    <w:p w:rsidR="009F3C6B" w:rsidRPr="00BE71C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71CB">
        <w:rPr>
          <w:rFonts w:ascii="Calibri" w:eastAsia="Calibri" w:hAnsi="Calibri" w:cs="Calibri"/>
          <w:sz w:val="22"/>
          <w:szCs w:val="22"/>
          <w:lang w:eastAsia="en-US"/>
        </w:rPr>
        <w:t>Nesse sentido, a realização de processo de licitação para o registro de preços para futura aquisição deste objeto se justifica face ao interesse público presente na necessidade da utilização dos materiais por diversos órgãos desta Administração Pública Municipal, para a manutenção e conservação dos prédios e logradouros público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9F3C6B" w:rsidRPr="005003C1" w:rsidRDefault="009F3C6B" w:rsidP="009F3C6B">
      <w:pPr>
        <w:numPr>
          <w:ilvl w:val="1"/>
          <w:numId w:val="3"/>
        </w:num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003C1">
        <w:rPr>
          <w:rFonts w:ascii="Calibri" w:hAnsi="Calibri" w:cs="Calibri"/>
          <w:sz w:val="22"/>
          <w:szCs w:val="22"/>
        </w:rPr>
        <w:t xml:space="preserve">Além disso, periodicamente, faz-se necessária a aquisição de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Materiais de Construção</w:t>
      </w:r>
      <w:r w:rsidRPr="005003C1">
        <w:rPr>
          <w:rFonts w:ascii="Calibri" w:hAnsi="Calibri" w:cs="Calibri"/>
          <w:sz w:val="22"/>
          <w:szCs w:val="22"/>
        </w:rPr>
        <w:t xml:space="preserve"> para utilização nos serviços de manutenção, recuperação e conservação </w:t>
      </w:r>
      <w:r>
        <w:rPr>
          <w:rFonts w:ascii="Calibri" w:hAnsi="Calibri" w:cs="Calibri"/>
          <w:sz w:val="22"/>
          <w:szCs w:val="22"/>
        </w:rPr>
        <w:t>predial</w:t>
      </w:r>
      <w:r w:rsidRPr="005003C1">
        <w:rPr>
          <w:rFonts w:ascii="Calibri" w:hAnsi="Calibri" w:cs="Calibri"/>
          <w:sz w:val="22"/>
          <w:szCs w:val="22"/>
        </w:rPr>
        <w:t>, onde se situam os Órgãos Públicos desta Municipalidade.</w:t>
      </w:r>
    </w:p>
    <w:p w:rsidR="009F3C6B" w:rsidRPr="000B4728" w:rsidRDefault="009F3C6B" w:rsidP="009F3C6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003C1">
        <w:rPr>
          <w:rFonts w:ascii="Calibri" w:eastAsia="Calibri" w:hAnsi="Calibri" w:cs="Calibri"/>
          <w:sz w:val="22"/>
          <w:szCs w:val="22"/>
          <w:lang w:eastAsia="en-US"/>
        </w:rPr>
        <w:t>Justifica-se, ainda, pela manutenção/reposição de estoque dos respectivos almoxarifados, visando atender as demandas desenvolvidas pelos diversos Órgãos da Administração Pública desta Capital, durante o exercício em que a futura Ata de Registro de Preços – ARP vigora</w:t>
      </w:r>
      <w:r w:rsidRPr="009158D7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Pr="009158D7">
        <w:rPr>
          <w:rFonts w:asciiTheme="minorHAnsi" w:hAnsiTheme="minorHAnsi"/>
          <w:sz w:val="22"/>
          <w:szCs w:val="22"/>
        </w:rPr>
        <w:t>.</w:t>
      </w:r>
    </w:p>
    <w:p w:rsidR="009F3C6B" w:rsidRPr="004E7197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9F3C6B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9F3C6B" w:rsidRDefault="009F3C6B" w:rsidP="009F3C6B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E3715F" w:rsidRPr="002751AD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E3715F" w:rsidRPr="00E3715F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, o menor preço por </w:t>
      </w:r>
      <w:r>
        <w:rPr>
          <w:rFonts w:asciiTheme="minorHAnsi" w:hAnsiTheme="minorHAnsi"/>
          <w:snapToGrid w:val="0"/>
          <w:sz w:val="22"/>
          <w:szCs w:val="22"/>
        </w:rPr>
        <w:t>item</w:t>
      </w:r>
      <w:r w:rsidRPr="00F711D3">
        <w:rPr>
          <w:rFonts w:asciiTheme="minorHAnsi" w:hAnsiTheme="minorHAnsi"/>
          <w:snapToGrid w:val="0"/>
          <w:sz w:val="22"/>
          <w:szCs w:val="22"/>
        </w:rPr>
        <w:t>,</w:t>
      </w:r>
      <w:r>
        <w:rPr>
          <w:rFonts w:asciiTheme="minorHAnsi" w:hAnsiTheme="minorHAnsi"/>
          <w:snapToGrid w:val="0"/>
          <w:sz w:val="22"/>
          <w:szCs w:val="22"/>
        </w:rPr>
        <w:t xml:space="preserve"> tendo como referência o valor estimado,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 observadas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E3715F" w:rsidRPr="00E50F9F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E50F9F">
        <w:rPr>
          <w:rFonts w:asciiTheme="minorHAnsi" w:hAnsiTheme="minorHAnsi"/>
          <w:snapToGrid w:val="0"/>
          <w:sz w:val="22"/>
          <w:szCs w:val="22"/>
        </w:rPr>
        <w:t>Se tratando de itens agrupados, o critério de julgamento será o valor global do grupo.</w:t>
      </w:r>
    </w:p>
    <w:p w:rsidR="00E3715F" w:rsidRPr="009E0EC1" w:rsidRDefault="00E3715F" w:rsidP="00E3715F">
      <w:pPr>
        <w:pStyle w:val="PargrafodaLista"/>
        <w:numPr>
          <w:ilvl w:val="1"/>
          <w:numId w:val="4"/>
        </w:numPr>
        <w:ind w:left="0" w:firstLine="0"/>
        <w:jc w:val="both"/>
        <w:rPr>
          <w:rFonts w:ascii="Calibri" w:hAnsi="Calibri" w:cs="Calibri"/>
          <w:snapToGrid w:val="0"/>
          <w:sz w:val="22"/>
          <w:szCs w:val="22"/>
        </w:rPr>
      </w:pPr>
      <w:r w:rsidRPr="009E0EC1">
        <w:rPr>
          <w:rFonts w:ascii="Calibri" w:hAnsi="Calibri" w:cs="Calibri"/>
          <w:sz w:val="22"/>
          <w:szCs w:val="22"/>
        </w:rPr>
        <w:t xml:space="preserve">O pregão eletrônico ocorrerá sob o </w:t>
      </w:r>
      <w:r w:rsidRPr="009E0EC1">
        <w:rPr>
          <w:rFonts w:ascii="Calibri" w:hAnsi="Calibri" w:cs="Calibri"/>
          <w:sz w:val="22"/>
          <w:szCs w:val="22"/>
          <w:u w:val="single"/>
        </w:rPr>
        <w:t>modo de disputa Aberto e Fechado</w:t>
      </w:r>
      <w:r w:rsidRPr="009E0EC1">
        <w:rPr>
          <w:rFonts w:ascii="Calibri" w:hAnsi="Calibri" w:cs="Calibri"/>
          <w:sz w:val="22"/>
          <w:szCs w:val="22"/>
        </w:rPr>
        <w:t>, onde os licitantes apresentarão lances públicos e sucessivos, com lance final e fechado</w:t>
      </w:r>
    </w:p>
    <w:p w:rsidR="00E3715F" w:rsidRPr="009E0EC1" w:rsidRDefault="00E3715F" w:rsidP="00E3715F">
      <w:pPr>
        <w:pStyle w:val="PargrafodaLista"/>
        <w:numPr>
          <w:ilvl w:val="2"/>
          <w:numId w:val="24"/>
        </w:numPr>
        <w:ind w:left="0" w:firstLine="0"/>
        <w:jc w:val="both"/>
        <w:rPr>
          <w:rFonts w:ascii="Calibri" w:hAnsi="Calibri" w:cs="Calibri"/>
          <w:snapToGrid w:val="0"/>
          <w:sz w:val="22"/>
          <w:szCs w:val="22"/>
        </w:rPr>
      </w:pPr>
      <w:r w:rsidRPr="009E0E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Tendo em vista</w:t>
      </w:r>
      <w:r w:rsidRPr="009E0EC1">
        <w:rPr>
          <w:rFonts w:ascii="Calibri" w:hAnsi="Calibri" w:cs="Calibri"/>
          <w:sz w:val="22"/>
          <w:szCs w:val="22"/>
        </w:rPr>
        <w:t xml:space="preserve"> o Poder discricionário da Administração Pública, bem como o disposto no art. 14 do Decreto 10.024/2019, fora definido este modo de disputa vislumbrando atender ao princípio da vantajosidade, uma vez que este modo proporciona a escolha da proposta mais vantajosa à Administração Pública. </w:t>
      </w:r>
    </w:p>
    <w:p w:rsidR="00E3715F" w:rsidRDefault="00E3715F" w:rsidP="00E3715F">
      <w:pPr>
        <w:pStyle w:val="PargrafodaLista"/>
        <w:numPr>
          <w:ilvl w:val="1"/>
          <w:numId w:val="4"/>
        </w:numPr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interesse da administração pública, os valores de referência não serão divulgados.</w:t>
      </w:r>
    </w:p>
    <w:p w:rsidR="00E3715F" w:rsidRDefault="00E3715F" w:rsidP="009F3C6B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E3715F" w:rsidRPr="00DE3BD1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E3715F" w:rsidRPr="000B4728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>As despesas decorrentes da contratação do objeto deste Termo de Referência correrão à conta dos recursos específicos consignados no Orçamento dos Órgãos e Entidades do Município de Maceió participantes da Ata de Registro de Preços.</w:t>
      </w:r>
    </w:p>
    <w:p w:rsidR="00E3715F" w:rsidRPr="00665BB5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0B4728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0B4728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0B4728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E3715F" w:rsidRDefault="00E3715F" w:rsidP="009F3C6B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9F3C6B" w:rsidRPr="002B2792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lastRenderedPageBreak/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E3715F" w:rsidRPr="00907A1B" w:rsidRDefault="00E3715F" w:rsidP="00E3715F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>A Contratante não estará obrigada a adquirir os produtos registrados, contudo, ao fazê-lo,</w:t>
      </w:r>
      <w:r>
        <w:rPr>
          <w:rFonts w:ascii="Calibri" w:eastAsia="Calibri" w:hAnsi="Calibri" w:cs="Calibri"/>
          <w:sz w:val="22"/>
          <w:szCs w:val="22"/>
        </w:rPr>
        <w:t xml:space="preserve"> cada participante</w:t>
      </w:r>
      <w:r w:rsidRPr="00907A1B">
        <w:rPr>
          <w:rFonts w:ascii="Calibri" w:eastAsia="Calibri" w:hAnsi="Calibri" w:cs="Calibri"/>
          <w:sz w:val="22"/>
          <w:szCs w:val="22"/>
        </w:rPr>
        <w:t xml:space="preserve"> solicitará</w:t>
      </w:r>
      <w:r>
        <w:rPr>
          <w:rFonts w:ascii="Calibri" w:eastAsia="Calibri" w:hAnsi="Calibri" w:cs="Calibri"/>
          <w:sz w:val="22"/>
          <w:szCs w:val="22"/>
        </w:rPr>
        <w:t xml:space="preserve"> individualmente</w:t>
      </w:r>
      <w:r w:rsidRPr="00907A1B">
        <w:rPr>
          <w:rFonts w:ascii="Calibri" w:eastAsia="Calibri" w:hAnsi="Calibri" w:cs="Calibri"/>
          <w:sz w:val="22"/>
          <w:szCs w:val="22"/>
        </w:rPr>
        <w:t xml:space="preserve"> um percentual mínimo de </w:t>
      </w:r>
      <w:r>
        <w:rPr>
          <w:rFonts w:ascii="Calibri" w:eastAsia="Calibri" w:hAnsi="Calibri" w:cs="Calibri"/>
          <w:sz w:val="22"/>
          <w:szCs w:val="22"/>
        </w:rPr>
        <w:t>1</w:t>
      </w:r>
      <w:r w:rsidRPr="00907A1B">
        <w:rPr>
          <w:rFonts w:ascii="Calibri" w:eastAsia="Calibri" w:hAnsi="Calibri" w:cs="Calibri"/>
          <w:sz w:val="22"/>
          <w:szCs w:val="22"/>
        </w:rPr>
        <w:t>% (</w:t>
      </w:r>
      <w:r>
        <w:rPr>
          <w:rFonts w:ascii="Calibri" w:eastAsia="Calibri" w:hAnsi="Calibri" w:cs="Calibri"/>
          <w:sz w:val="22"/>
          <w:szCs w:val="22"/>
        </w:rPr>
        <w:t xml:space="preserve">um </w:t>
      </w:r>
      <w:r w:rsidRPr="00907A1B">
        <w:rPr>
          <w:rFonts w:ascii="Calibri" w:eastAsia="Calibri" w:hAnsi="Calibri" w:cs="Calibri"/>
          <w:sz w:val="22"/>
          <w:szCs w:val="22"/>
        </w:rPr>
        <w:t>por cento)</w:t>
      </w:r>
      <w:r>
        <w:rPr>
          <w:rFonts w:ascii="Calibri" w:eastAsia="Calibri" w:hAnsi="Calibri" w:cs="Calibri"/>
          <w:sz w:val="22"/>
          <w:szCs w:val="22"/>
        </w:rPr>
        <w:t>, do</w:t>
      </w:r>
      <w:r w:rsidRPr="00907A1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seu quantitativo registrado para cada item.</w:t>
      </w:r>
    </w:p>
    <w:p w:rsidR="009F3C6B" w:rsidRPr="003229B0" w:rsidRDefault="009F3C6B" w:rsidP="009F3C6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</w:t>
      </w:r>
      <w:r w:rsidRPr="003229B0">
        <w:rPr>
          <w:rFonts w:ascii="Calibri" w:eastAsia="Calibri" w:hAnsi="Calibri" w:cs="Calibri"/>
          <w:sz w:val="22"/>
          <w:szCs w:val="22"/>
        </w:rPr>
        <w:t>responsável pela requisição.</w:t>
      </w:r>
    </w:p>
    <w:p w:rsidR="009F3C6B" w:rsidRPr="003229B0" w:rsidRDefault="009F3C6B" w:rsidP="009F3C6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29B0">
        <w:rPr>
          <w:rFonts w:ascii="Calibri" w:eastAsia="Calibri" w:hAnsi="Calibri" w:cs="Calibri"/>
          <w:sz w:val="22"/>
          <w:szCs w:val="22"/>
        </w:rPr>
        <w:t xml:space="preserve">O prazo previsto para entrega deverá ser de até 10 (dez) dias, contados do recebimento da Nota de Empenho/Ordem de Fornecimento (via e-mail ou correios) ou retirado na sede da Contratante. </w:t>
      </w:r>
    </w:p>
    <w:p w:rsidR="009F3C6B" w:rsidRPr="004E7197" w:rsidRDefault="009F3C6B" w:rsidP="009F3C6B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</w:t>
      </w:r>
      <w:r>
        <w:rPr>
          <w:rFonts w:ascii="Calibri" w:eastAsia="Calibri" w:hAnsi="Calibri" w:cs="Times New Roman"/>
          <w:color w:val="auto"/>
          <w:sz w:val="22"/>
          <w:szCs w:val="22"/>
        </w:rPr>
        <w:t>, conforme indicados no Anexo II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,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 xml:space="preserve">com cópia da Nota de Empenho/Ordem de Fornecimento, no horário das 08h00 às 14h00 de segunda-feira a sexta-feira. </w:t>
      </w:r>
    </w:p>
    <w:p w:rsidR="009F3C6B" w:rsidRDefault="009F3C6B" w:rsidP="0063471B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hAnsi="Calibri"/>
          <w:sz w:val="22"/>
          <w:szCs w:val="22"/>
        </w:rPr>
      </w:pPr>
      <w:r w:rsidRPr="00D11F25">
        <w:rPr>
          <w:rFonts w:ascii="Calibri" w:hAnsi="Calibri" w:cs="Calibri"/>
          <w:sz w:val="22"/>
          <w:szCs w:val="22"/>
        </w:rPr>
        <w:t xml:space="preserve"> </w:t>
      </w:r>
    </w:p>
    <w:p w:rsidR="00E3715F" w:rsidRPr="007F7F1A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E3715F" w:rsidRPr="00215FEC" w:rsidRDefault="00E3715F" w:rsidP="00E3715F">
      <w:pPr>
        <w:pStyle w:val="PargrafodaLista"/>
        <w:numPr>
          <w:ilvl w:val="2"/>
          <w:numId w:val="20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5FEC">
        <w:rPr>
          <w:rFonts w:asciiTheme="minorHAnsi" w:hAnsiTheme="minorHAnsi" w:cstheme="minorHAnsi"/>
          <w:sz w:val="22"/>
          <w:szCs w:val="22"/>
        </w:rPr>
        <w:t>O(s) objeto(s) serão recebidos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215FEC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E3715F" w:rsidRPr="00E50F9F" w:rsidRDefault="00E3715F" w:rsidP="00E3715F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50F9F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E50F9F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E3715F" w:rsidRDefault="00E3715F" w:rsidP="00E3715F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 xml:space="preserve">, após a verificação da qualidade e quantidade do material e consequente aceitação, no prazo de até 05 (cinco) dia úteis. Só então será atestada a nota fiscal. </w:t>
      </w:r>
    </w:p>
    <w:p w:rsidR="00E3715F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E3715F" w:rsidRPr="000B50DA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E3715F" w:rsidRPr="00821F29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</w:t>
      </w:r>
      <w:r w:rsidRPr="00750430">
        <w:rPr>
          <w:rFonts w:ascii="Calibri" w:eastAsia="Calibri" w:hAnsi="Calibri" w:cs="Calibri"/>
          <w:sz w:val="22"/>
          <w:szCs w:val="22"/>
        </w:rPr>
        <w:t xml:space="preserve">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pertinentes.</w:t>
      </w:r>
    </w:p>
    <w:p w:rsidR="00E3715F" w:rsidRPr="00821F29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Pr="00821F29">
        <w:rPr>
          <w:rFonts w:asciiTheme="minorHAnsi" w:hAnsiTheme="minorHAnsi" w:cs="Arial"/>
          <w:sz w:val="22"/>
          <w:szCs w:val="22"/>
        </w:rPr>
        <w:t xml:space="preserve"> 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9F3C6B" w:rsidRDefault="009F3C6B" w:rsidP="009F3C6B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715F" w:rsidRPr="00615520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E3715F" w:rsidRPr="00D87EBF" w:rsidRDefault="00E3715F" w:rsidP="00E3715F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4E84">
        <w:rPr>
          <w:rFonts w:ascii="Calibri" w:hAnsi="Calibri"/>
          <w:sz w:val="22"/>
          <w:szCs w:val="22"/>
        </w:rPr>
        <w:t xml:space="preserve">As </w:t>
      </w:r>
      <w:r w:rsidRPr="00B32E12">
        <w:rPr>
          <w:rFonts w:ascii="Calibri" w:hAnsi="Calibri"/>
          <w:sz w:val="22"/>
          <w:szCs w:val="22"/>
        </w:rPr>
        <w:t xml:space="preserve">licitantes deverão apresentar no mínimo um atestado, emitido por pessoa jurídica de direito público ou privado devidamente assinado em papel </w:t>
      </w:r>
      <w:r w:rsidRPr="000A2BE0">
        <w:rPr>
          <w:rFonts w:ascii="Calibri" w:hAnsi="Calibri"/>
          <w:sz w:val="22"/>
          <w:szCs w:val="22"/>
        </w:rPr>
        <w:t xml:space="preserve">timbrado e carimbado, </w:t>
      </w:r>
      <w:r w:rsidRPr="000A2BE0">
        <w:rPr>
          <w:rFonts w:ascii="Calibri" w:hAnsi="Calibri" w:cs="Calibri"/>
          <w:sz w:val="22"/>
          <w:szCs w:val="22"/>
        </w:rPr>
        <w:t>que comprove que a licitante forneceu, de maneira satisfatória e a concreto</w:t>
      </w:r>
      <w:r w:rsidRPr="00D87EB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ateriais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de Construção</w:t>
      </w:r>
      <w:r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3715F" w:rsidRDefault="00E3715F" w:rsidP="009F3C6B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715F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E3715F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E3715F" w:rsidRPr="00E454F8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nos endereços constante no anexo II deste documento, dentro do prazo estabelecido no item 6</w:t>
      </w:r>
      <w:r>
        <w:rPr>
          <w:rFonts w:ascii="Calibri" w:hAnsi="Calibri"/>
          <w:color w:val="auto"/>
          <w:sz w:val="22"/>
          <w:szCs w:val="22"/>
        </w:rPr>
        <w:t>.4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Efetuar 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Providenciar a correção das deficiências, falhas ou irregularidades constatadas pela Contratante na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Responder por danos causados diretamente à Contratante ou a terceiros, decorrentes de sua culpa ou dolo, quando da execução do contrato;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Acatar as orientações da Contratante, sujeitando-se a mais ampla e irrestrita fiscalização, prestando esclarecimentos solicitados e atendendo às reclamações formuladas;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E3715F" w:rsidRPr="00A56293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E3715F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E3715F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E3715F" w:rsidRPr="00E454F8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Permitir o livre acesso dos empregados da empresa nas dependências da Contratante para entrega do objeto deste Termo de Referência, desde que uniformizados e identificados com crachá;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Contratada, por escrito, sobre imperfeições, falhas ou irregularidades verificadas no objeto fornecido, para que seja substituído, reparado ou corrigido, sem prejuízo das penalidades cabíveis;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E3715F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>
        <w:rPr>
          <w:rFonts w:ascii="Calibri" w:hAnsi="Calibri"/>
          <w:sz w:val="22"/>
          <w:szCs w:val="22"/>
        </w:rPr>
        <w:t>tidas neste Termo de Referência;</w:t>
      </w:r>
    </w:p>
    <w:p w:rsidR="00E3715F" w:rsidRPr="00A56293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8033FB">
        <w:rPr>
          <w:rFonts w:ascii="Calibri" w:hAnsi="Calibri"/>
          <w:sz w:val="22"/>
          <w:szCs w:val="22"/>
        </w:rPr>
        <w:t>Aplicar à Contratada as penalidades regulamentares contratuais</w:t>
      </w:r>
      <w:r>
        <w:rPr>
          <w:rFonts w:ascii="Calibri" w:hAnsi="Calibri"/>
          <w:sz w:val="22"/>
          <w:szCs w:val="22"/>
        </w:rPr>
        <w:t>.</w:t>
      </w:r>
    </w:p>
    <w:p w:rsidR="00E3715F" w:rsidRPr="00283E55" w:rsidRDefault="00E3715F" w:rsidP="009F3C6B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0"/>
          <w:numId w:val="4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9F3C6B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9F3C6B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9F3C6B" w:rsidRPr="00E454F8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E3715F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DA ATA DE REGISTRO DE PREÇOS</w:t>
      </w:r>
    </w:p>
    <w:p w:rsidR="00E3715F" w:rsidRPr="004E0360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E3715F" w:rsidRPr="000D57B5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E3715F" w:rsidRPr="000D57B5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>
        <w:rPr>
          <w:rFonts w:asciiTheme="minorHAnsi" w:hAnsiTheme="minorHAnsi"/>
          <w:bCs/>
          <w:sz w:val="22"/>
          <w:szCs w:val="22"/>
        </w:rPr>
        <w:t>item</w:t>
      </w:r>
      <w:r w:rsidRPr="000D57B5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11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E3715F" w:rsidRPr="0052159B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E3715F" w:rsidRPr="004E0360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 xml:space="preserve">, situada na Rua </w:t>
      </w:r>
      <w:r>
        <w:rPr>
          <w:rFonts w:ascii="Calibri" w:hAnsi="Calibri"/>
          <w:sz w:val="22"/>
          <w:szCs w:val="22"/>
        </w:rPr>
        <w:t>Eng. Roberto Gonçalves Menezes</w:t>
      </w:r>
      <w:r w:rsidRPr="004E0360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71</w:t>
      </w:r>
      <w:r w:rsidRPr="004E0360">
        <w:rPr>
          <w:rFonts w:ascii="Calibri" w:hAnsi="Calibri"/>
          <w:sz w:val="22"/>
          <w:szCs w:val="22"/>
        </w:rPr>
        <w:t xml:space="preserve"> - CEP: 57020-</w:t>
      </w:r>
      <w:r w:rsidR="0063471B">
        <w:rPr>
          <w:rFonts w:ascii="Calibri" w:hAnsi="Calibri"/>
          <w:sz w:val="22"/>
          <w:szCs w:val="22"/>
        </w:rPr>
        <w:t>6</w:t>
      </w:r>
      <w:r w:rsidRPr="004E0360">
        <w:rPr>
          <w:rFonts w:ascii="Calibri" w:hAnsi="Calibri"/>
          <w:sz w:val="22"/>
          <w:szCs w:val="22"/>
        </w:rPr>
        <w:t xml:space="preserve">80, Telefone (82) </w:t>
      </w:r>
      <w:r>
        <w:rPr>
          <w:rFonts w:ascii="Calibri" w:hAnsi="Calibri"/>
          <w:sz w:val="22"/>
          <w:szCs w:val="22"/>
        </w:rPr>
        <w:t>3312-5100.</w:t>
      </w:r>
    </w:p>
    <w:p w:rsidR="00E3715F" w:rsidRPr="004E0360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63471B" w:rsidRPr="00F978BB" w:rsidRDefault="0063471B" w:rsidP="0063471B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978BB">
        <w:rPr>
          <w:rFonts w:ascii="Calibri" w:hAnsi="Calibri"/>
          <w:sz w:val="22"/>
          <w:szCs w:val="22"/>
        </w:rPr>
        <w:t>Para efeito do disposto no subitem 11.3, caberá ao Órgão Gerenciador autorizar o remanejamento solicitado, com a redução do quantitativo inicialmente informado pelo Órgão Participante, desde que haja prévia anuência do Órgão que vier a sofre redução dos quantitativos informados.</w:t>
      </w:r>
    </w:p>
    <w:p w:rsidR="00E3715F" w:rsidRDefault="00E3715F" w:rsidP="009F3C6B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9F3C6B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>
        <w:rPr>
          <w:rFonts w:ascii="Calibri" w:hAnsi="Calibr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9F3C6B" w:rsidRPr="00B24B64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9F3C6B" w:rsidRPr="00524260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9F3C6B" w:rsidRPr="00524260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9F3C6B" w:rsidRDefault="009F3C6B" w:rsidP="009F3C6B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E3715F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fiscal da contratação terá, entre outras, as seguintes atribuições: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Expedir ordens de fornecimento;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Proceder ao acompanhamento técnico da execução dos serviços;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Fiscalizar a execução do Contrato quanto à qualidade desejada;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Comunicar à Contratada o descumprimento do contrato e indicar os procedimentos necessários ao seu correto cumprimento;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Solicitar à Administração a aplicação de penalidades por descumprimento de cláusula contratual;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Fornecer atestados de capacidade técnica quando solicitado, desde que atendidas às obrigações contratuais;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Atestar as notas fiscais relativas à execução dos serviços para efeito de pagamentos; 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Recusar o objeto que for entregue fora das especificações contidas no Contrato ou que forem executados em quantidades divergentes daquelas constantes na ordem de serviços;</w:t>
      </w:r>
    </w:p>
    <w:p w:rsidR="00E3715F" w:rsidRDefault="00E3715F" w:rsidP="00E3715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Solicitar à Contratada e a seu preposto todas as providências necessárias ao bom e fiel cumprimento das obrigações.</w:t>
      </w:r>
    </w:p>
    <w:p w:rsidR="00E3715F" w:rsidRDefault="00E3715F" w:rsidP="00E3715F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E3715F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E3715F" w:rsidRPr="00ED4E13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bCs/>
          <w:sz w:val="22"/>
          <w:szCs w:val="22"/>
        </w:rPr>
        <w:t xml:space="preserve">Fica </w:t>
      </w:r>
      <w:r w:rsidRPr="00ED4E13">
        <w:rPr>
          <w:rFonts w:ascii="Calibri" w:hAnsi="Calibri"/>
          <w:sz w:val="22"/>
          <w:szCs w:val="22"/>
        </w:rPr>
        <w:t>proibido</w:t>
      </w:r>
      <w:r w:rsidRPr="00ED4E13">
        <w:rPr>
          <w:rFonts w:ascii="Calibri" w:hAnsi="Calibri"/>
          <w:bCs/>
          <w:sz w:val="22"/>
          <w:szCs w:val="22"/>
        </w:rPr>
        <w:t xml:space="preserve"> o reajuste do valor durante a vigência do contrato ou ata.</w:t>
      </w:r>
    </w:p>
    <w:p w:rsidR="00E3715F" w:rsidRPr="00ED4E13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E3715F" w:rsidRPr="00ED4E13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Pode ocorrer a revisão do contrato ou ata, tencionando o reequilíbrio econômico financeiro, desde que haja incidência de fato imprevisível e devidamente justificado, conforme art. 37, XXI, DA CF/88, arts. 57,§§ 1º e 2º, 65, II, “d” e § 6º, todos da Lei n.8666/93 e arts. 17/19 do Decreto Municipal nº 7.496/2013.</w:t>
      </w:r>
    </w:p>
    <w:p w:rsidR="00E3715F" w:rsidRPr="00052049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</w:t>
      </w:r>
      <w:r>
        <w:rPr>
          <w:rFonts w:ascii="Calibri" w:hAnsi="Calibri"/>
          <w:sz w:val="22"/>
          <w:szCs w:val="22"/>
        </w:rPr>
        <w:t>.</w:t>
      </w:r>
    </w:p>
    <w:p w:rsidR="00E3715F" w:rsidRPr="00297070" w:rsidRDefault="00E3715F" w:rsidP="00E3715F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E3715F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30 (trinta) dias de antecedência, hipótese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E3715F" w:rsidRPr="003C277A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E3715F" w:rsidRDefault="00E3715F" w:rsidP="009F3C6B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E3715F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E3715F" w:rsidRPr="003C277A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</w:t>
      </w:r>
      <w:r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E3715F" w:rsidRPr="004E53E8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>, quando a Contratada falhar ou fraudar na execução do Contrato, comportar-se de modo inidôneo, fizer declaração falsa ou cometer fraude fiscal; e</w:t>
      </w:r>
    </w:p>
    <w:p w:rsidR="00E3715F" w:rsidRPr="00A56293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>, quando a Contratada:</w:t>
      </w:r>
    </w:p>
    <w:p w:rsidR="00E3715F" w:rsidRPr="004E53E8" w:rsidRDefault="00E3715F" w:rsidP="00E3715F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c.1) </w:t>
      </w:r>
      <w:r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E3715F" w:rsidRPr="004E53E8" w:rsidRDefault="00E3715F" w:rsidP="00E3715F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c.2) </w:t>
      </w:r>
      <w:r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>
        <w:rPr>
          <w:rFonts w:asciiTheme="minorHAnsi" w:hAnsiTheme="minorHAnsi" w:cstheme="minorHAnsi"/>
          <w:sz w:val="22"/>
          <w:szCs w:val="22"/>
        </w:rPr>
        <w:t xml:space="preserve">16.8, alínea “c”,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E3715F" w:rsidRPr="004E53E8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E3715F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</w:t>
      </w: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prejuízos resultantes da sua conduta e depois de decorrido o prazo das sanções de suspensão e impedimento aplicadas.</w:t>
      </w:r>
    </w:p>
    <w:p w:rsidR="00E3715F" w:rsidRPr="003C277A" w:rsidRDefault="00E3715F" w:rsidP="00E3715F">
      <w:pPr>
        <w:pStyle w:val="PargrafodaLista"/>
        <w:numPr>
          <w:ilvl w:val="1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E3715F" w:rsidRDefault="00E3715F" w:rsidP="009F3C6B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ind w:left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9F3C6B" w:rsidRDefault="009F3C6B" w:rsidP="009F3C6B">
      <w:pPr>
        <w:pStyle w:val="SemEspaamento"/>
        <w:numPr>
          <w:ilvl w:val="1"/>
          <w:numId w:val="4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9F3C6B" w:rsidRDefault="009F3C6B" w:rsidP="009F3C6B">
      <w:pPr>
        <w:pStyle w:val="SemEspaamento"/>
        <w:numPr>
          <w:ilvl w:val="1"/>
          <w:numId w:val="4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>, através do e</w:t>
      </w:r>
      <w:r w:rsidR="0063471B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mail: gerencia.planejamento@arser.maceio.al.gov.br, telefone para contato (82) </w:t>
      </w:r>
      <w:r w:rsidR="0063471B">
        <w:rPr>
          <w:rFonts w:ascii="Calibri" w:hAnsi="Calibri"/>
          <w:sz w:val="22"/>
          <w:szCs w:val="22"/>
        </w:rPr>
        <w:t>3312-5100</w:t>
      </w:r>
      <w:r>
        <w:rPr>
          <w:rFonts w:ascii="Calibri" w:hAnsi="Calibri"/>
          <w:sz w:val="22"/>
          <w:szCs w:val="22"/>
        </w:rPr>
        <w:t>.</w:t>
      </w:r>
    </w:p>
    <w:p w:rsidR="009F3C6B" w:rsidRDefault="009F3C6B" w:rsidP="009F3C6B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30386">
        <w:rPr>
          <w:rFonts w:ascii="Calibri" w:hAnsi="Calibri"/>
          <w:sz w:val="22"/>
          <w:szCs w:val="22"/>
        </w:rPr>
        <w:t xml:space="preserve">Maceió, </w:t>
      </w:r>
      <w:r w:rsidR="0063471B">
        <w:rPr>
          <w:rFonts w:ascii="Calibri" w:hAnsi="Calibri"/>
          <w:sz w:val="22"/>
          <w:szCs w:val="22"/>
        </w:rPr>
        <w:t>16</w:t>
      </w:r>
      <w:r w:rsidRPr="00B30386">
        <w:rPr>
          <w:rFonts w:ascii="Calibri" w:hAnsi="Calibri"/>
          <w:sz w:val="22"/>
          <w:szCs w:val="22"/>
        </w:rPr>
        <w:t xml:space="preserve"> de </w:t>
      </w:r>
      <w:r w:rsidR="0063471B">
        <w:rPr>
          <w:rFonts w:ascii="Calibri" w:hAnsi="Calibri"/>
          <w:sz w:val="22"/>
          <w:szCs w:val="22"/>
        </w:rPr>
        <w:t>Janeiro</w:t>
      </w:r>
      <w:r>
        <w:rPr>
          <w:rFonts w:ascii="Calibri" w:hAnsi="Calibri"/>
          <w:sz w:val="22"/>
          <w:szCs w:val="22"/>
        </w:rPr>
        <w:t xml:space="preserve"> de </w:t>
      </w:r>
      <w:r w:rsidR="0063471B">
        <w:rPr>
          <w:rFonts w:ascii="Calibri" w:hAnsi="Calibri"/>
          <w:sz w:val="22"/>
          <w:szCs w:val="22"/>
        </w:rPr>
        <w:t>2020</w:t>
      </w:r>
    </w:p>
    <w:p w:rsidR="009F3C6B" w:rsidRPr="003C277A" w:rsidRDefault="009F3C6B" w:rsidP="009F3C6B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9F3C6B" w:rsidRDefault="00E3715F" w:rsidP="009F3C6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Diego Passos Lima</w:t>
      </w:r>
    </w:p>
    <w:p w:rsidR="009F3C6B" w:rsidRPr="00DE589C" w:rsidRDefault="00E3715F" w:rsidP="009F3C6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Gerência</w:t>
      </w:r>
      <w:r w:rsidR="009F3C6B">
        <w:rPr>
          <w:rFonts w:asciiTheme="minorHAnsi" w:hAnsiTheme="minorHAnsi"/>
          <w:sz w:val="22"/>
          <w:szCs w:val="22"/>
        </w:rPr>
        <w:t xml:space="preserve"> de Planejamento/ARSER</w:t>
      </w:r>
    </w:p>
    <w:p w:rsidR="009F3C6B" w:rsidRDefault="009F3C6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63471B" w:rsidRDefault="0063471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63471B" w:rsidRDefault="0063471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63471B" w:rsidRDefault="0063471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63471B" w:rsidRDefault="0063471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63471B" w:rsidRDefault="0063471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63471B" w:rsidRDefault="0063471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293BCE" w:rsidRDefault="00293BCE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9F3C6B" w:rsidRDefault="009F3C6B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p w:rsidR="009F3C6B" w:rsidRDefault="009F3C6B" w:rsidP="00293BCE">
      <w:pPr>
        <w:tabs>
          <w:tab w:val="left" w:pos="4111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ANEXO I</w:t>
      </w:r>
      <w:r w:rsidR="00293BCE">
        <w:rPr>
          <w:rFonts w:asciiTheme="minorHAnsi" w:hAnsiTheme="minorHAnsi"/>
          <w:b/>
          <w:sz w:val="22"/>
          <w:szCs w:val="22"/>
        </w:rPr>
        <w:t>- DESCRIÇÃO DOS MATERIAIS E QUANTITATIVOS</w:t>
      </w:r>
    </w:p>
    <w:p w:rsidR="009F3C6B" w:rsidRPr="00B50EC0" w:rsidRDefault="009F3C6B" w:rsidP="009F3C6B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0"/>
        <w:gridCol w:w="4678"/>
        <w:gridCol w:w="1134"/>
        <w:gridCol w:w="1559"/>
      </w:tblGrid>
      <w:tr w:rsidR="00293BCE" w:rsidRPr="002D397F" w:rsidTr="00293BCE">
        <w:trPr>
          <w:trHeight w:val="315"/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:rsidR="00293BCE" w:rsidRDefault="00293BCE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CAT</w:t>
            </w:r>
          </w:p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678" w:type="dxa"/>
            <w:shd w:val="clear" w:color="auto" w:fill="F2F2F2" w:themeFill="background1" w:themeFillShade="F2"/>
            <w:hideMark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F941A8" w:rsidRDefault="00CA2632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8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245024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F941A8" w:rsidRDefault="00293BCE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F941A8"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01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Aditivo líquido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(substituto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cal) para argamassa, embalagens de 1 litro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9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15903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Arame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liso galvanizado nº 12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0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15903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Arame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liso galvanizado nº 14.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1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15903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Arame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liso galvanizado nº 18.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192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2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216953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Areia fina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3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216955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Areia Grossa Limpa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  <w:shd w:val="clear" w:color="auto" w:fill="auto"/>
          </w:tcPr>
          <w:p w:rsidR="00293BCE" w:rsidRPr="005644D7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4" w:history="1">
              <w:r w:rsidR="00293BCE" w:rsidRP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216954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Areia Media Limpa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  <w:shd w:val="clear" w:color="auto" w:fill="auto"/>
          </w:tcPr>
          <w:p w:rsidR="00293BCE" w:rsidRPr="005644D7" w:rsidRDefault="00CA2632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15" w:history="1">
              <w:r w:rsidR="00293BCE" w:rsidRP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150739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Argamassa de 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cola flexivel (exterior) SC 20 kg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  <w:shd w:val="clear" w:color="auto" w:fill="auto"/>
          </w:tcPr>
          <w:p w:rsidR="00293BCE" w:rsidRPr="005644D7" w:rsidRDefault="00CA2632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16" w:history="1">
              <w:r w:rsidR="00293BCE" w:rsidRP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150739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Argamassa de 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colante SC  20 kg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history="1">
              <w:r w:rsidR="00293BCE" w:rsidRPr="000716D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232663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Azulejo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material argila/ pó de pedra/ esmaltada, formato quadrado, </w:t>
            </w:r>
            <w:r w:rsidRPr="003F0AD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comprimento 15 cm, largura 15 cm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cor branca, classe ´A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0716D2" w:rsidRDefault="00CA2632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18" w:history="1">
              <w:r w:rsidR="00293BCE" w:rsidRPr="000716D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244224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Azulejo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material argila/ pó de pedra/ esmaltada, formato quadrado, </w:t>
            </w:r>
            <w:r w:rsidRPr="003F0AD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comprimento 20 cm, largura 20 cm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cor branca, classe ´A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9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867">
              <w:rPr>
                <w:rFonts w:ascii="Calibri" w:hAnsi="Calibri" w:cs="Calibri"/>
                <w:color w:val="000000"/>
                <w:sz w:val="22"/>
                <w:szCs w:val="22"/>
              </w:rPr>
              <w:t>Bloco de concreto de 0,10x0,20x0,40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cm, aproximadamente.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0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3867">
              <w:rPr>
                <w:rFonts w:ascii="Calibri" w:hAnsi="Calibri" w:cs="Calibri"/>
                <w:color w:val="000000"/>
                <w:sz w:val="22"/>
                <w:szCs w:val="22"/>
              </w:rPr>
              <w:t>Bloco de concreto de 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Pr="009E3867">
              <w:rPr>
                <w:rFonts w:ascii="Calibri" w:hAnsi="Calibri" w:cs="Calibri"/>
                <w:color w:val="000000"/>
                <w:sz w:val="22"/>
                <w:szCs w:val="22"/>
              </w:rPr>
              <w:t>x0,20x0,40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cm, aproximadamente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1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3867">
              <w:rPr>
                <w:rFonts w:ascii="Calibri" w:hAnsi="Calibri" w:cs="Calibri"/>
                <w:color w:val="000000"/>
                <w:sz w:val="22"/>
                <w:szCs w:val="22"/>
              </w:rPr>
              <w:t>Bloco de concreto de 0,20x0,20x0,40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cm, aproximadamente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2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216956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0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3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216957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1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4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2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5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Ceramica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10 x 10 cm, para revestimento decorativo de paredes, classe a extra, 1ª qualidade, abrasão3, cor branco gelo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6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Cerâmica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antiderrapante, classe A, PEI 4, 40 cm x 40 cm, na cor branca.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7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Cerâmica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para parede, classe "A", cor branca, retangular PEI 3 ou 4.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8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Cerâmica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para piso, classe "A",  cor gelo ou cinza claro, quadrada, PEI 5.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9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216968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683D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Cimento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CP II - Z - 32 (cimento portland composto com pozolana) apresenta densidade de 3,5 g/cm3 componente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oncentração em massa (%) trióxido de enxofre - so3 2,93 óxido de cálcio - cao livre 1,37 óxido de magnésio - mgo 5,35 componente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oncentração em massa (%) óxido de alumínio - Sal2o3 6,59 óxido de silício - sio2 21,04 óxido de ferro - fe2o3 3,07 óxido de cálcio - cao 51,97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equivalente alcalino (na2o e k2o) 0,71 resíduo. </w:t>
            </w: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Saco 50kg.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Sc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0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150961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8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Gesso em bloco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x67x7,5cm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1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11886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867">
              <w:rPr>
                <w:rFonts w:ascii="Calibri" w:hAnsi="Calibri" w:cs="Calibri"/>
                <w:color w:val="000000"/>
                <w:sz w:val="22"/>
                <w:szCs w:val="22"/>
              </w:rPr>
              <w:t>Gesso em placa 60x60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x2,8cm aproximadamente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2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150961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Gesso em pó 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50kg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3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Bloco de concreto, tipo </w:t>
            </w: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Piso Intertravado</w:t>
            </w:r>
            <w:r w:rsidRPr="005B4942">
              <w:rPr>
                <w:rFonts w:asciiTheme="minorHAnsi" w:hAnsiTheme="minorHAnsi" w:cstheme="minorHAnsi"/>
                <w:sz w:val="22"/>
                <w:szCs w:val="22"/>
              </w:rPr>
              <w:t>, retangular,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concreto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ocre ou terracota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. e=6,00cm </w:t>
            </w:r>
          </w:p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Com as dimensões de 10,00 x 20,00 x 6,00 cm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4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325148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Rejunte Branco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Cinza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Tipo II conforme NBR 14.992, Para juntas de 2mm a 10mm, Resistente a formação de fungos, Flexível, com aditivo impermeabilizante, secagem em até 24 horas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5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447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Telha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material cerâmica, tipo</w:t>
            </w: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colonial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.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Medidas: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36705">
              <w:rPr>
                <w:rFonts w:asciiTheme="minorHAnsi" w:hAnsiTheme="minorHAnsi" w:cstheme="minorHAnsi"/>
                <w:sz w:val="22"/>
                <w:szCs w:val="22"/>
              </w:rPr>
              <w:t>48x20x15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F941A8" w:rsidRDefault="00CA2632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36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F941A8" w:rsidRDefault="00293BCE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1830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F941A8" w:rsidRDefault="00CA2632" w:rsidP="0033402C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37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Telhas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1530 mm x 1100 de 6 mm sem amianto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Un.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8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2130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2D397F" w:rsidRDefault="00CA2632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9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2440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Pr="00F941A8" w:rsidRDefault="00CA2632" w:rsidP="0033402C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40" w:history="1">
              <w:r w:rsidR="00293BCE"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3060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BCE" w:rsidRPr="002D397F" w:rsidTr="00293BCE">
        <w:trPr>
          <w:trHeight w:val="315"/>
          <w:jc w:val="center"/>
        </w:trPr>
        <w:tc>
          <w:tcPr>
            <w:tcW w:w="1129" w:type="dxa"/>
          </w:tcPr>
          <w:p w:rsidR="00293BCE" w:rsidRDefault="00CA2632" w:rsidP="0033402C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hyperlink r:id="rId41" w:history="1">
              <w:r w:rsidR="00293BCE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351577</w:t>
              </w:r>
            </w:hyperlink>
          </w:p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78" w:type="dxa"/>
            <w:shd w:val="clear" w:color="auto" w:fill="auto"/>
            <w:hideMark/>
          </w:tcPr>
          <w:p w:rsidR="00293BCE" w:rsidRPr="002D397F" w:rsidRDefault="00293BCE" w:rsidP="003340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Tijolo Cerâmico 8 furos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, 20cm x 20cm x 10cm, tipo A. </w:t>
            </w: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Milheiro</w:t>
            </w:r>
          </w:p>
        </w:tc>
        <w:tc>
          <w:tcPr>
            <w:tcW w:w="1134" w:type="dxa"/>
            <w:shd w:val="clear" w:color="auto" w:fill="auto"/>
          </w:tcPr>
          <w:p w:rsidR="00293BCE" w:rsidRPr="002D397F" w:rsidRDefault="00293BCE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Mil</w:t>
            </w:r>
          </w:p>
        </w:tc>
        <w:tc>
          <w:tcPr>
            <w:tcW w:w="1559" w:type="dxa"/>
            <w:shd w:val="clear" w:color="auto" w:fill="auto"/>
          </w:tcPr>
          <w:p w:rsidR="00293BCE" w:rsidRPr="002D397F" w:rsidRDefault="00293BCE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3C6B" w:rsidRDefault="009F3C6B" w:rsidP="009F3C6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39E" w:rsidRDefault="00AA239E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AA239E" w:rsidSect="003843FA">
      <w:headerReference w:type="default" r:id="rId42"/>
      <w:footerReference w:type="default" r:id="rId43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02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C9" w:rsidRDefault="00AA58C9" w:rsidP="00AA58C9">
    <w:pPr>
      <w:pStyle w:val="Cabealho"/>
      <w:rPr>
        <w:rFonts w:ascii="Times New Roman" w:hAnsi="Times New Roman" w:cs="Times New Roman"/>
        <w:noProof/>
        <w:lang w:eastAsia="pt-BR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800" behindDoc="0" locked="0" layoutInCell="1" allowOverlap="1" wp14:anchorId="09FD971E" wp14:editId="609B1CF5">
          <wp:simplePos x="0" y="0"/>
          <wp:positionH relativeFrom="column">
            <wp:posOffset>870001</wp:posOffset>
          </wp:positionH>
          <wp:positionV relativeFrom="paragraph">
            <wp:posOffset>-236855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17102" w:rsidRDefault="00917102" w:rsidP="00AA58C9">
    <w:pPr>
      <w:pStyle w:val="Cabealho"/>
    </w:pPr>
  </w:p>
  <w:p w:rsidR="00917102" w:rsidRDefault="00917102">
    <w:pPr>
      <w:pStyle w:val="Cabealho"/>
    </w:pPr>
  </w:p>
  <w:p w:rsidR="00917102" w:rsidRDefault="00917102">
    <w:pPr>
      <w:pStyle w:val="Cabealho"/>
    </w:pPr>
  </w:p>
  <w:p w:rsidR="00AA58C9" w:rsidRDefault="00AA5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621D97"/>
    <w:multiLevelType w:val="multilevel"/>
    <w:tmpl w:val="A792394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1A4B"/>
    <w:multiLevelType w:val="hybridMultilevel"/>
    <w:tmpl w:val="E7B6F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05DB1"/>
    <w:multiLevelType w:val="hybridMultilevel"/>
    <w:tmpl w:val="555AE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7EA"/>
    <w:multiLevelType w:val="multilevel"/>
    <w:tmpl w:val="D24C44D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5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D0A4902"/>
    <w:multiLevelType w:val="multilevel"/>
    <w:tmpl w:val="47D2AAC6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3"/>
  </w:num>
  <w:num w:numId="10">
    <w:abstractNumId w:val="10"/>
  </w:num>
  <w:num w:numId="11">
    <w:abstractNumId w:val="16"/>
  </w:num>
  <w:num w:numId="12">
    <w:abstractNumId w:val="20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6"/>
  </w:num>
  <w:num w:numId="21">
    <w:abstractNumId w:val="9"/>
  </w:num>
  <w:num w:numId="22">
    <w:abstractNumId w:val="14"/>
  </w:num>
  <w:num w:numId="23">
    <w:abstractNumId w:val="11"/>
  </w:num>
  <w:num w:numId="2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5D26"/>
    <w:rsid w:val="0001213C"/>
    <w:rsid w:val="00017413"/>
    <w:rsid w:val="00020663"/>
    <w:rsid w:val="000226ED"/>
    <w:rsid w:val="0002295C"/>
    <w:rsid w:val="000300E2"/>
    <w:rsid w:val="00033806"/>
    <w:rsid w:val="00033BA8"/>
    <w:rsid w:val="00034CBE"/>
    <w:rsid w:val="00035747"/>
    <w:rsid w:val="0003737A"/>
    <w:rsid w:val="00037458"/>
    <w:rsid w:val="00040506"/>
    <w:rsid w:val="000431CE"/>
    <w:rsid w:val="0005202D"/>
    <w:rsid w:val="00053750"/>
    <w:rsid w:val="00054EEF"/>
    <w:rsid w:val="00064679"/>
    <w:rsid w:val="000716D2"/>
    <w:rsid w:val="00071EB0"/>
    <w:rsid w:val="00077920"/>
    <w:rsid w:val="00080E64"/>
    <w:rsid w:val="000825D4"/>
    <w:rsid w:val="00093E71"/>
    <w:rsid w:val="000961D7"/>
    <w:rsid w:val="000A0A12"/>
    <w:rsid w:val="000A2DC6"/>
    <w:rsid w:val="000A6E34"/>
    <w:rsid w:val="000B59E6"/>
    <w:rsid w:val="000C1687"/>
    <w:rsid w:val="000C4B87"/>
    <w:rsid w:val="000D0C50"/>
    <w:rsid w:val="000D1F07"/>
    <w:rsid w:val="000D5A04"/>
    <w:rsid w:val="000D62D0"/>
    <w:rsid w:val="000D7246"/>
    <w:rsid w:val="000E0AE5"/>
    <w:rsid w:val="000E11D1"/>
    <w:rsid w:val="000E509B"/>
    <w:rsid w:val="000E60A7"/>
    <w:rsid w:val="000F5F27"/>
    <w:rsid w:val="000F7790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A11"/>
    <w:rsid w:val="00131C34"/>
    <w:rsid w:val="00134B23"/>
    <w:rsid w:val="0013519F"/>
    <w:rsid w:val="00137893"/>
    <w:rsid w:val="0013797C"/>
    <w:rsid w:val="00142090"/>
    <w:rsid w:val="001446B6"/>
    <w:rsid w:val="001508D5"/>
    <w:rsid w:val="00152205"/>
    <w:rsid w:val="00152A71"/>
    <w:rsid w:val="00153FA4"/>
    <w:rsid w:val="00160F3C"/>
    <w:rsid w:val="00162DA5"/>
    <w:rsid w:val="00166CF7"/>
    <w:rsid w:val="00171C02"/>
    <w:rsid w:val="001817FE"/>
    <w:rsid w:val="0019629D"/>
    <w:rsid w:val="001969BD"/>
    <w:rsid w:val="001A0045"/>
    <w:rsid w:val="001A767A"/>
    <w:rsid w:val="001B5B08"/>
    <w:rsid w:val="001C000E"/>
    <w:rsid w:val="001C1511"/>
    <w:rsid w:val="001C173F"/>
    <w:rsid w:val="001C2FE9"/>
    <w:rsid w:val="001C572A"/>
    <w:rsid w:val="001D3B68"/>
    <w:rsid w:val="001E1E4B"/>
    <w:rsid w:val="001E42C4"/>
    <w:rsid w:val="001E524A"/>
    <w:rsid w:val="001E5875"/>
    <w:rsid w:val="001E590A"/>
    <w:rsid w:val="001F7172"/>
    <w:rsid w:val="002002C1"/>
    <w:rsid w:val="00201640"/>
    <w:rsid w:val="00203075"/>
    <w:rsid w:val="00205C70"/>
    <w:rsid w:val="00213ABB"/>
    <w:rsid w:val="002155F1"/>
    <w:rsid w:val="00215A76"/>
    <w:rsid w:val="00216FD3"/>
    <w:rsid w:val="00217631"/>
    <w:rsid w:val="00217FD2"/>
    <w:rsid w:val="002207B0"/>
    <w:rsid w:val="00220E7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36A58"/>
    <w:rsid w:val="002433E1"/>
    <w:rsid w:val="00243EBE"/>
    <w:rsid w:val="00244606"/>
    <w:rsid w:val="002456A0"/>
    <w:rsid w:val="00252638"/>
    <w:rsid w:val="002531CA"/>
    <w:rsid w:val="00254652"/>
    <w:rsid w:val="00256C99"/>
    <w:rsid w:val="002576B4"/>
    <w:rsid w:val="00261C1B"/>
    <w:rsid w:val="00262F2F"/>
    <w:rsid w:val="00270A60"/>
    <w:rsid w:val="00270DAF"/>
    <w:rsid w:val="002751AD"/>
    <w:rsid w:val="00283CE2"/>
    <w:rsid w:val="00283E55"/>
    <w:rsid w:val="0029084C"/>
    <w:rsid w:val="00293BCE"/>
    <w:rsid w:val="00297070"/>
    <w:rsid w:val="0029715A"/>
    <w:rsid w:val="002A24E3"/>
    <w:rsid w:val="002B2792"/>
    <w:rsid w:val="002B3FD7"/>
    <w:rsid w:val="002D36A3"/>
    <w:rsid w:val="002D4F4B"/>
    <w:rsid w:val="002E21BF"/>
    <w:rsid w:val="002E66D7"/>
    <w:rsid w:val="002F7235"/>
    <w:rsid w:val="00304597"/>
    <w:rsid w:val="00307063"/>
    <w:rsid w:val="00314BED"/>
    <w:rsid w:val="0031547E"/>
    <w:rsid w:val="003168F7"/>
    <w:rsid w:val="00325A8A"/>
    <w:rsid w:val="00326203"/>
    <w:rsid w:val="00326814"/>
    <w:rsid w:val="0032691B"/>
    <w:rsid w:val="00331E56"/>
    <w:rsid w:val="0033402C"/>
    <w:rsid w:val="00335EC8"/>
    <w:rsid w:val="0033614B"/>
    <w:rsid w:val="00342911"/>
    <w:rsid w:val="0034453E"/>
    <w:rsid w:val="00346BA8"/>
    <w:rsid w:val="0035017E"/>
    <w:rsid w:val="003516E6"/>
    <w:rsid w:val="00351B41"/>
    <w:rsid w:val="00352C8E"/>
    <w:rsid w:val="003546C5"/>
    <w:rsid w:val="00360583"/>
    <w:rsid w:val="00361777"/>
    <w:rsid w:val="00363C85"/>
    <w:rsid w:val="003668B7"/>
    <w:rsid w:val="00373E6B"/>
    <w:rsid w:val="00380E9E"/>
    <w:rsid w:val="0038360D"/>
    <w:rsid w:val="003843FA"/>
    <w:rsid w:val="003849F5"/>
    <w:rsid w:val="003853A2"/>
    <w:rsid w:val="00385820"/>
    <w:rsid w:val="00385A25"/>
    <w:rsid w:val="00386243"/>
    <w:rsid w:val="00391928"/>
    <w:rsid w:val="003929F3"/>
    <w:rsid w:val="003A5E91"/>
    <w:rsid w:val="003B1C34"/>
    <w:rsid w:val="003B201C"/>
    <w:rsid w:val="003B547A"/>
    <w:rsid w:val="003B5F59"/>
    <w:rsid w:val="003C02E0"/>
    <w:rsid w:val="003C1D2E"/>
    <w:rsid w:val="003C2DF3"/>
    <w:rsid w:val="003C585D"/>
    <w:rsid w:val="003D162A"/>
    <w:rsid w:val="003D3706"/>
    <w:rsid w:val="003D3C87"/>
    <w:rsid w:val="003D619A"/>
    <w:rsid w:val="003D7848"/>
    <w:rsid w:val="003D7911"/>
    <w:rsid w:val="003E06B2"/>
    <w:rsid w:val="003E1C7B"/>
    <w:rsid w:val="003E34C7"/>
    <w:rsid w:val="003E4E6A"/>
    <w:rsid w:val="003E7EC7"/>
    <w:rsid w:val="003F0AD4"/>
    <w:rsid w:val="003F1BE1"/>
    <w:rsid w:val="003F23F9"/>
    <w:rsid w:val="003F34D6"/>
    <w:rsid w:val="003F482D"/>
    <w:rsid w:val="003F6D87"/>
    <w:rsid w:val="004024A0"/>
    <w:rsid w:val="00403868"/>
    <w:rsid w:val="00404291"/>
    <w:rsid w:val="00405C04"/>
    <w:rsid w:val="0040603D"/>
    <w:rsid w:val="00416659"/>
    <w:rsid w:val="00421E51"/>
    <w:rsid w:val="0042310B"/>
    <w:rsid w:val="00424996"/>
    <w:rsid w:val="0042672A"/>
    <w:rsid w:val="00430295"/>
    <w:rsid w:val="00430D19"/>
    <w:rsid w:val="004318B3"/>
    <w:rsid w:val="004337D3"/>
    <w:rsid w:val="004362CA"/>
    <w:rsid w:val="00441B18"/>
    <w:rsid w:val="00447934"/>
    <w:rsid w:val="004547EB"/>
    <w:rsid w:val="00456F24"/>
    <w:rsid w:val="004649E8"/>
    <w:rsid w:val="00475AF2"/>
    <w:rsid w:val="00477F74"/>
    <w:rsid w:val="0048246B"/>
    <w:rsid w:val="004868CD"/>
    <w:rsid w:val="00492DF0"/>
    <w:rsid w:val="00493157"/>
    <w:rsid w:val="004944AE"/>
    <w:rsid w:val="00494903"/>
    <w:rsid w:val="00495E4A"/>
    <w:rsid w:val="004A26D3"/>
    <w:rsid w:val="004A28E8"/>
    <w:rsid w:val="004A61E6"/>
    <w:rsid w:val="004A6439"/>
    <w:rsid w:val="004A78E6"/>
    <w:rsid w:val="004B15B5"/>
    <w:rsid w:val="004B1649"/>
    <w:rsid w:val="004B56F1"/>
    <w:rsid w:val="004B6DD0"/>
    <w:rsid w:val="004B713B"/>
    <w:rsid w:val="004C0328"/>
    <w:rsid w:val="004C0A21"/>
    <w:rsid w:val="004C13B5"/>
    <w:rsid w:val="004D0E5A"/>
    <w:rsid w:val="004D11B4"/>
    <w:rsid w:val="004D2251"/>
    <w:rsid w:val="004D2E8F"/>
    <w:rsid w:val="004E0360"/>
    <w:rsid w:val="004E2F3B"/>
    <w:rsid w:val="004E372D"/>
    <w:rsid w:val="004E4A20"/>
    <w:rsid w:val="004F5276"/>
    <w:rsid w:val="004F6F7C"/>
    <w:rsid w:val="005034CE"/>
    <w:rsid w:val="005050C4"/>
    <w:rsid w:val="00510F92"/>
    <w:rsid w:val="005112AD"/>
    <w:rsid w:val="00511DE2"/>
    <w:rsid w:val="005144E3"/>
    <w:rsid w:val="005152DE"/>
    <w:rsid w:val="00520C72"/>
    <w:rsid w:val="00520F47"/>
    <w:rsid w:val="00524260"/>
    <w:rsid w:val="00526F97"/>
    <w:rsid w:val="00527363"/>
    <w:rsid w:val="005367AD"/>
    <w:rsid w:val="00541208"/>
    <w:rsid w:val="00541FFA"/>
    <w:rsid w:val="005448E9"/>
    <w:rsid w:val="005453CA"/>
    <w:rsid w:val="00552BE9"/>
    <w:rsid w:val="0055421E"/>
    <w:rsid w:val="00556C06"/>
    <w:rsid w:val="0056084C"/>
    <w:rsid w:val="0056387F"/>
    <w:rsid w:val="0056401E"/>
    <w:rsid w:val="005644D7"/>
    <w:rsid w:val="00564AA7"/>
    <w:rsid w:val="005667E7"/>
    <w:rsid w:val="00567593"/>
    <w:rsid w:val="00571106"/>
    <w:rsid w:val="005736E0"/>
    <w:rsid w:val="005777BF"/>
    <w:rsid w:val="00580C94"/>
    <w:rsid w:val="00581EF7"/>
    <w:rsid w:val="00583F5C"/>
    <w:rsid w:val="00584D36"/>
    <w:rsid w:val="00590240"/>
    <w:rsid w:val="005908D2"/>
    <w:rsid w:val="00590D4A"/>
    <w:rsid w:val="00591D8C"/>
    <w:rsid w:val="005929A9"/>
    <w:rsid w:val="005A1AB7"/>
    <w:rsid w:val="005A2A2A"/>
    <w:rsid w:val="005A608C"/>
    <w:rsid w:val="005A6A23"/>
    <w:rsid w:val="005A76AB"/>
    <w:rsid w:val="005A7D2B"/>
    <w:rsid w:val="005B1C74"/>
    <w:rsid w:val="005B4942"/>
    <w:rsid w:val="005B4E69"/>
    <w:rsid w:val="005B53FD"/>
    <w:rsid w:val="005C0B42"/>
    <w:rsid w:val="005C20E6"/>
    <w:rsid w:val="005C2338"/>
    <w:rsid w:val="005C7A26"/>
    <w:rsid w:val="005D1071"/>
    <w:rsid w:val="005D1507"/>
    <w:rsid w:val="005D3E0D"/>
    <w:rsid w:val="005E1EA4"/>
    <w:rsid w:val="005E215A"/>
    <w:rsid w:val="005E40C5"/>
    <w:rsid w:val="005F0668"/>
    <w:rsid w:val="005F3972"/>
    <w:rsid w:val="005F62A7"/>
    <w:rsid w:val="00601DF5"/>
    <w:rsid w:val="00602E21"/>
    <w:rsid w:val="006044CD"/>
    <w:rsid w:val="00611F53"/>
    <w:rsid w:val="00615520"/>
    <w:rsid w:val="00616035"/>
    <w:rsid w:val="00620B09"/>
    <w:rsid w:val="006226C2"/>
    <w:rsid w:val="00624CA4"/>
    <w:rsid w:val="00631B3B"/>
    <w:rsid w:val="00632C6E"/>
    <w:rsid w:val="0063471B"/>
    <w:rsid w:val="006350A8"/>
    <w:rsid w:val="00641E72"/>
    <w:rsid w:val="00641FEC"/>
    <w:rsid w:val="00647953"/>
    <w:rsid w:val="00651850"/>
    <w:rsid w:val="0065650A"/>
    <w:rsid w:val="00660509"/>
    <w:rsid w:val="00660C85"/>
    <w:rsid w:val="00662CCE"/>
    <w:rsid w:val="00675EFC"/>
    <w:rsid w:val="00683D1E"/>
    <w:rsid w:val="00685DB8"/>
    <w:rsid w:val="0069157F"/>
    <w:rsid w:val="00693981"/>
    <w:rsid w:val="00696209"/>
    <w:rsid w:val="00696865"/>
    <w:rsid w:val="006A2897"/>
    <w:rsid w:val="006A34E9"/>
    <w:rsid w:val="006A37BF"/>
    <w:rsid w:val="006B13F7"/>
    <w:rsid w:val="006B1C0C"/>
    <w:rsid w:val="006B2A0A"/>
    <w:rsid w:val="006B395A"/>
    <w:rsid w:val="006B4183"/>
    <w:rsid w:val="006C182D"/>
    <w:rsid w:val="006C26FC"/>
    <w:rsid w:val="006C342F"/>
    <w:rsid w:val="006D046B"/>
    <w:rsid w:val="006E115D"/>
    <w:rsid w:val="006E2A15"/>
    <w:rsid w:val="006E4FDA"/>
    <w:rsid w:val="006E60BB"/>
    <w:rsid w:val="006F0258"/>
    <w:rsid w:val="006F1391"/>
    <w:rsid w:val="006F4619"/>
    <w:rsid w:val="006F4627"/>
    <w:rsid w:val="006F55E1"/>
    <w:rsid w:val="00703B24"/>
    <w:rsid w:val="00704E9C"/>
    <w:rsid w:val="00715832"/>
    <w:rsid w:val="00716CA3"/>
    <w:rsid w:val="0072568D"/>
    <w:rsid w:val="007338C7"/>
    <w:rsid w:val="00735377"/>
    <w:rsid w:val="00742A72"/>
    <w:rsid w:val="007451C4"/>
    <w:rsid w:val="00746689"/>
    <w:rsid w:val="00750C5B"/>
    <w:rsid w:val="00753F17"/>
    <w:rsid w:val="00756260"/>
    <w:rsid w:val="00762721"/>
    <w:rsid w:val="007644AE"/>
    <w:rsid w:val="00774FF3"/>
    <w:rsid w:val="00775BEF"/>
    <w:rsid w:val="00781735"/>
    <w:rsid w:val="007831FF"/>
    <w:rsid w:val="007844A0"/>
    <w:rsid w:val="007854A6"/>
    <w:rsid w:val="007905B9"/>
    <w:rsid w:val="00792BF9"/>
    <w:rsid w:val="00796236"/>
    <w:rsid w:val="007A088B"/>
    <w:rsid w:val="007A1466"/>
    <w:rsid w:val="007A75C8"/>
    <w:rsid w:val="007B1DB9"/>
    <w:rsid w:val="007B4201"/>
    <w:rsid w:val="007B6D58"/>
    <w:rsid w:val="007C002A"/>
    <w:rsid w:val="007C2C43"/>
    <w:rsid w:val="007C47FF"/>
    <w:rsid w:val="007D1921"/>
    <w:rsid w:val="007D6162"/>
    <w:rsid w:val="007D777E"/>
    <w:rsid w:val="007E0EFA"/>
    <w:rsid w:val="007E4906"/>
    <w:rsid w:val="007E652A"/>
    <w:rsid w:val="007F7F1A"/>
    <w:rsid w:val="00800B7F"/>
    <w:rsid w:val="00803B89"/>
    <w:rsid w:val="00803D5D"/>
    <w:rsid w:val="00812968"/>
    <w:rsid w:val="008202A2"/>
    <w:rsid w:val="00821F29"/>
    <w:rsid w:val="00822A3A"/>
    <w:rsid w:val="00823A71"/>
    <w:rsid w:val="00825C3C"/>
    <w:rsid w:val="00826BF5"/>
    <w:rsid w:val="00834A48"/>
    <w:rsid w:val="00835B3C"/>
    <w:rsid w:val="0083730E"/>
    <w:rsid w:val="008405EE"/>
    <w:rsid w:val="008457E9"/>
    <w:rsid w:val="0084643B"/>
    <w:rsid w:val="00847664"/>
    <w:rsid w:val="008479EF"/>
    <w:rsid w:val="0085003A"/>
    <w:rsid w:val="00850874"/>
    <w:rsid w:val="008513D4"/>
    <w:rsid w:val="00853565"/>
    <w:rsid w:val="00854B6A"/>
    <w:rsid w:val="00856144"/>
    <w:rsid w:val="00863394"/>
    <w:rsid w:val="008643AA"/>
    <w:rsid w:val="008733D9"/>
    <w:rsid w:val="008749B1"/>
    <w:rsid w:val="00877B80"/>
    <w:rsid w:val="00883B21"/>
    <w:rsid w:val="00887169"/>
    <w:rsid w:val="008902E9"/>
    <w:rsid w:val="00892D15"/>
    <w:rsid w:val="008952FF"/>
    <w:rsid w:val="008A1200"/>
    <w:rsid w:val="008A2484"/>
    <w:rsid w:val="008A45F9"/>
    <w:rsid w:val="008A6253"/>
    <w:rsid w:val="008B4DAC"/>
    <w:rsid w:val="008C0BCB"/>
    <w:rsid w:val="008C2D6E"/>
    <w:rsid w:val="008C38B2"/>
    <w:rsid w:val="008C7334"/>
    <w:rsid w:val="008C741C"/>
    <w:rsid w:val="008C797D"/>
    <w:rsid w:val="008C7FE1"/>
    <w:rsid w:val="008E3F81"/>
    <w:rsid w:val="008F2125"/>
    <w:rsid w:val="008F3F2F"/>
    <w:rsid w:val="008F4A8F"/>
    <w:rsid w:val="008F58BF"/>
    <w:rsid w:val="008F68CF"/>
    <w:rsid w:val="009037F7"/>
    <w:rsid w:val="00906AFF"/>
    <w:rsid w:val="00907A1B"/>
    <w:rsid w:val="00907EBF"/>
    <w:rsid w:val="00912055"/>
    <w:rsid w:val="00912C85"/>
    <w:rsid w:val="00917102"/>
    <w:rsid w:val="009172D1"/>
    <w:rsid w:val="00920EDA"/>
    <w:rsid w:val="00925651"/>
    <w:rsid w:val="00925975"/>
    <w:rsid w:val="00925A2D"/>
    <w:rsid w:val="00927D6D"/>
    <w:rsid w:val="00931BB9"/>
    <w:rsid w:val="009361E9"/>
    <w:rsid w:val="009470F5"/>
    <w:rsid w:val="009616D2"/>
    <w:rsid w:val="009638E8"/>
    <w:rsid w:val="00971628"/>
    <w:rsid w:val="009754CD"/>
    <w:rsid w:val="0097758C"/>
    <w:rsid w:val="009877CB"/>
    <w:rsid w:val="00987F64"/>
    <w:rsid w:val="00990800"/>
    <w:rsid w:val="009930CB"/>
    <w:rsid w:val="00993983"/>
    <w:rsid w:val="009A1591"/>
    <w:rsid w:val="009A6D8B"/>
    <w:rsid w:val="009B0787"/>
    <w:rsid w:val="009B1A1F"/>
    <w:rsid w:val="009B3A87"/>
    <w:rsid w:val="009B5B1B"/>
    <w:rsid w:val="009C05B3"/>
    <w:rsid w:val="009C26F6"/>
    <w:rsid w:val="009C2DAE"/>
    <w:rsid w:val="009C3133"/>
    <w:rsid w:val="009C3D59"/>
    <w:rsid w:val="009C5725"/>
    <w:rsid w:val="009C73DB"/>
    <w:rsid w:val="009D57A3"/>
    <w:rsid w:val="009D60EE"/>
    <w:rsid w:val="009E5E7D"/>
    <w:rsid w:val="009E64E0"/>
    <w:rsid w:val="009F3C6B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4325F"/>
    <w:rsid w:val="00A5129B"/>
    <w:rsid w:val="00A52A1A"/>
    <w:rsid w:val="00A53A2E"/>
    <w:rsid w:val="00A54FD8"/>
    <w:rsid w:val="00A56293"/>
    <w:rsid w:val="00A56803"/>
    <w:rsid w:val="00A65061"/>
    <w:rsid w:val="00A667F5"/>
    <w:rsid w:val="00A70155"/>
    <w:rsid w:val="00A72629"/>
    <w:rsid w:val="00A73311"/>
    <w:rsid w:val="00A73385"/>
    <w:rsid w:val="00A753FB"/>
    <w:rsid w:val="00A75851"/>
    <w:rsid w:val="00A80664"/>
    <w:rsid w:val="00A8236B"/>
    <w:rsid w:val="00A91205"/>
    <w:rsid w:val="00A914D0"/>
    <w:rsid w:val="00A96DC1"/>
    <w:rsid w:val="00AA239E"/>
    <w:rsid w:val="00AA4789"/>
    <w:rsid w:val="00AA534D"/>
    <w:rsid w:val="00AA58C9"/>
    <w:rsid w:val="00AB2C66"/>
    <w:rsid w:val="00AB325F"/>
    <w:rsid w:val="00AB6F7C"/>
    <w:rsid w:val="00AC0548"/>
    <w:rsid w:val="00AC255F"/>
    <w:rsid w:val="00AC6412"/>
    <w:rsid w:val="00AD0E2E"/>
    <w:rsid w:val="00AD2DCB"/>
    <w:rsid w:val="00AE1041"/>
    <w:rsid w:val="00AE1C16"/>
    <w:rsid w:val="00AF6668"/>
    <w:rsid w:val="00B00060"/>
    <w:rsid w:val="00B04E39"/>
    <w:rsid w:val="00B11F61"/>
    <w:rsid w:val="00B160EC"/>
    <w:rsid w:val="00B23570"/>
    <w:rsid w:val="00B23E96"/>
    <w:rsid w:val="00B27867"/>
    <w:rsid w:val="00B32AED"/>
    <w:rsid w:val="00B34CD5"/>
    <w:rsid w:val="00B41687"/>
    <w:rsid w:val="00B44EA8"/>
    <w:rsid w:val="00B471F8"/>
    <w:rsid w:val="00B55A97"/>
    <w:rsid w:val="00B56783"/>
    <w:rsid w:val="00B56D68"/>
    <w:rsid w:val="00B619B1"/>
    <w:rsid w:val="00B63A5E"/>
    <w:rsid w:val="00B67A6C"/>
    <w:rsid w:val="00B71069"/>
    <w:rsid w:val="00B72A0A"/>
    <w:rsid w:val="00B755A7"/>
    <w:rsid w:val="00B8046D"/>
    <w:rsid w:val="00B81282"/>
    <w:rsid w:val="00B8340B"/>
    <w:rsid w:val="00B86260"/>
    <w:rsid w:val="00B87F07"/>
    <w:rsid w:val="00B94083"/>
    <w:rsid w:val="00BA5328"/>
    <w:rsid w:val="00BC0DB4"/>
    <w:rsid w:val="00BC0E88"/>
    <w:rsid w:val="00BC2E2A"/>
    <w:rsid w:val="00BD1643"/>
    <w:rsid w:val="00BD1DB4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07390"/>
    <w:rsid w:val="00C10065"/>
    <w:rsid w:val="00C10F38"/>
    <w:rsid w:val="00C1316D"/>
    <w:rsid w:val="00C1587C"/>
    <w:rsid w:val="00C2372B"/>
    <w:rsid w:val="00C24D48"/>
    <w:rsid w:val="00C26C41"/>
    <w:rsid w:val="00C302D0"/>
    <w:rsid w:val="00C30D1E"/>
    <w:rsid w:val="00C34860"/>
    <w:rsid w:val="00C34BBD"/>
    <w:rsid w:val="00C41E55"/>
    <w:rsid w:val="00C4586E"/>
    <w:rsid w:val="00C45B98"/>
    <w:rsid w:val="00C47586"/>
    <w:rsid w:val="00C53463"/>
    <w:rsid w:val="00C54ADB"/>
    <w:rsid w:val="00C55F73"/>
    <w:rsid w:val="00C606F6"/>
    <w:rsid w:val="00C62E68"/>
    <w:rsid w:val="00C634CB"/>
    <w:rsid w:val="00C643C2"/>
    <w:rsid w:val="00C667F0"/>
    <w:rsid w:val="00C72473"/>
    <w:rsid w:val="00C76E37"/>
    <w:rsid w:val="00C80662"/>
    <w:rsid w:val="00C83E12"/>
    <w:rsid w:val="00C840E0"/>
    <w:rsid w:val="00C877B6"/>
    <w:rsid w:val="00C877CD"/>
    <w:rsid w:val="00C953E9"/>
    <w:rsid w:val="00C96F3B"/>
    <w:rsid w:val="00CA2632"/>
    <w:rsid w:val="00CA7E3D"/>
    <w:rsid w:val="00CB05E2"/>
    <w:rsid w:val="00CB341B"/>
    <w:rsid w:val="00CB4B4F"/>
    <w:rsid w:val="00CC2B78"/>
    <w:rsid w:val="00CC7021"/>
    <w:rsid w:val="00CD03DA"/>
    <w:rsid w:val="00CD3F2C"/>
    <w:rsid w:val="00CD7F36"/>
    <w:rsid w:val="00CE2535"/>
    <w:rsid w:val="00CE6C70"/>
    <w:rsid w:val="00CE7103"/>
    <w:rsid w:val="00CF28A9"/>
    <w:rsid w:val="00CF2E44"/>
    <w:rsid w:val="00CF3941"/>
    <w:rsid w:val="00CF606D"/>
    <w:rsid w:val="00CF67CC"/>
    <w:rsid w:val="00D009CE"/>
    <w:rsid w:val="00D03D04"/>
    <w:rsid w:val="00D03FC4"/>
    <w:rsid w:val="00D06313"/>
    <w:rsid w:val="00D122DC"/>
    <w:rsid w:val="00D1586B"/>
    <w:rsid w:val="00D25321"/>
    <w:rsid w:val="00D261BB"/>
    <w:rsid w:val="00D35DCA"/>
    <w:rsid w:val="00D40EA8"/>
    <w:rsid w:val="00D421F0"/>
    <w:rsid w:val="00D44D4A"/>
    <w:rsid w:val="00D4698C"/>
    <w:rsid w:val="00D5415E"/>
    <w:rsid w:val="00D55C9B"/>
    <w:rsid w:val="00D61F65"/>
    <w:rsid w:val="00D633CC"/>
    <w:rsid w:val="00D66255"/>
    <w:rsid w:val="00D751F6"/>
    <w:rsid w:val="00D763D6"/>
    <w:rsid w:val="00D815D6"/>
    <w:rsid w:val="00D84444"/>
    <w:rsid w:val="00D874F1"/>
    <w:rsid w:val="00D913C5"/>
    <w:rsid w:val="00D914AE"/>
    <w:rsid w:val="00D91BBD"/>
    <w:rsid w:val="00D971BB"/>
    <w:rsid w:val="00DA21E7"/>
    <w:rsid w:val="00DA687B"/>
    <w:rsid w:val="00DB1974"/>
    <w:rsid w:val="00DB2169"/>
    <w:rsid w:val="00DB3988"/>
    <w:rsid w:val="00DC528D"/>
    <w:rsid w:val="00DD02D6"/>
    <w:rsid w:val="00DE235E"/>
    <w:rsid w:val="00DE3BD1"/>
    <w:rsid w:val="00DE460B"/>
    <w:rsid w:val="00DE589C"/>
    <w:rsid w:val="00DF2CB3"/>
    <w:rsid w:val="00DF480A"/>
    <w:rsid w:val="00DF487F"/>
    <w:rsid w:val="00DF57FF"/>
    <w:rsid w:val="00DF5C48"/>
    <w:rsid w:val="00E00EC4"/>
    <w:rsid w:val="00E037DC"/>
    <w:rsid w:val="00E04B31"/>
    <w:rsid w:val="00E07B72"/>
    <w:rsid w:val="00E155FD"/>
    <w:rsid w:val="00E1625A"/>
    <w:rsid w:val="00E23C17"/>
    <w:rsid w:val="00E26B09"/>
    <w:rsid w:val="00E3286C"/>
    <w:rsid w:val="00E33357"/>
    <w:rsid w:val="00E368AC"/>
    <w:rsid w:val="00E36A81"/>
    <w:rsid w:val="00E3715F"/>
    <w:rsid w:val="00E4000B"/>
    <w:rsid w:val="00E40ADA"/>
    <w:rsid w:val="00E42AE5"/>
    <w:rsid w:val="00E454F8"/>
    <w:rsid w:val="00E52B3E"/>
    <w:rsid w:val="00E54141"/>
    <w:rsid w:val="00E5424B"/>
    <w:rsid w:val="00E54B9E"/>
    <w:rsid w:val="00E621F9"/>
    <w:rsid w:val="00E63535"/>
    <w:rsid w:val="00E67C4A"/>
    <w:rsid w:val="00E7513A"/>
    <w:rsid w:val="00E75995"/>
    <w:rsid w:val="00E760AB"/>
    <w:rsid w:val="00E806E5"/>
    <w:rsid w:val="00E81CD0"/>
    <w:rsid w:val="00E87313"/>
    <w:rsid w:val="00E87B0D"/>
    <w:rsid w:val="00E942DD"/>
    <w:rsid w:val="00E9475B"/>
    <w:rsid w:val="00E94BC3"/>
    <w:rsid w:val="00EA36AB"/>
    <w:rsid w:val="00EB39C7"/>
    <w:rsid w:val="00EB73CC"/>
    <w:rsid w:val="00EC2F86"/>
    <w:rsid w:val="00EC38EB"/>
    <w:rsid w:val="00EC5AA2"/>
    <w:rsid w:val="00ED0AD6"/>
    <w:rsid w:val="00ED270E"/>
    <w:rsid w:val="00ED56B8"/>
    <w:rsid w:val="00EE108A"/>
    <w:rsid w:val="00EF1ED7"/>
    <w:rsid w:val="00EF2B8C"/>
    <w:rsid w:val="00EF5808"/>
    <w:rsid w:val="00EF5A11"/>
    <w:rsid w:val="00EF6583"/>
    <w:rsid w:val="00F0382D"/>
    <w:rsid w:val="00F10B14"/>
    <w:rsid w:val="00F115A2"/>
    <w:rsid w:val="00F12446"/>
    <w:rsid w:val="00F14A3F"/>
    <w:rsid w:val="00F15F43"/>
    <w:rsid w:val="00F2112A"/>
    <w:rsid w:val="00F21F62"/>
    <w:rsid w:val="00F24E72"/>
    <w:rsid w:val="00F259BE"/>
    <w:rsid w:val="00F330DF"/>
    <w:rsid w:val="00F42030"/>
    <w:rsid w:val="00F43CD0"/>
    <w:rsid w:val="00F4457E"/>
    <w:rsid w:val="00F471C8"/>
    <w:rsid w:val="00F523E3"/>
    <w:rsid w:val="00F52865"/>
    <w:rsid w:val="00F56A43"/>
    <w:rsid w:val="00F601B5"/>
    <w:rsid w:val="00F61DB6"/>
    <w:rsid w:val="00F6249D"/>
    <w:rsid w:val="00F62918"/>
    <w:rsid w:val="00F63539"/>
    <w:rsid w:val="00F67FF8"/>
    <w:rsid w:val="00F70FE3"/>
    <w:rsid w:val="00F711D3"/>
    <w:rsid w:val="00F73D41"/>
    <w:rsid w:val="00F91F0D"/>
    <w:rsid w:val="00F92EE9"/>
    <w:rsid w:val="00F93D87"/>
    <w:rsid w:val="00F941A8"/>
    <w:rsid w:val="00F95AE4"/>
    <w:rsid w:val="00FA0016"/>
    <w:rsid w:val="00FA750F"/>
    <w:rsid w:val="00FB5818"/>
    <w:rsid w:val="00FB608C"/>
    <w:rsid w:val="00FB6D5E"/>
    <w:rsid w:val="00FC7432"/>
    <w:rsid w:val="00FC7DEB"/>
    <w:rsid w:val="00FD3C59"/>
    <w:rsid w:val="00FE6768"/>
    <w:rsid w:val="00FE7C8E"/>
    <w:rsid w:val="00FF05D3"/>
    <w:rsid w:val="00FF4440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  <w:style w:type="paragraph" w:customStyle="1" w:styleId="western">
    <w:name w:val="western"/>
    <w:basedOn w:val="Normal"/>
    <w:rsid w:val="00D35DCA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footer" Target="footer1.xml"/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D112-79E5-452D-A71C-69269BD7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4201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3</cp:revision>
  <cp:lastPrinted>2020-01-16T13:43:00Z</cp:lastPrinted>
  <dcterms:created xsi:type="dcterms:W3CDTF">2020-01-16T13:03:00Z</dcterms:created>
  <dcterms:modified xsi:type="dcterms:W3CDTF">2020-01-16T13:46:00Z</dcterms:modified>
</cp:coreProperties>
</file>