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C41" w:rsidRPr="006A170E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 w:rsidRPr="006A170E">
        <w:rPr>
          <w:rFonts w:ascii="Calibri" w:hAnsi="Calibri"/>
          <w:b/>
          <w:sz w:val="22"/>
          <w:szCs w:val="22"/>
          <w:u w:val="single"/>
        </w:rPr>
        <w:t>TERMO DE REFERÊNCI</w:t>
      </w:r>
      <w:r w:rsidR="0069095C">
        <w:rPr>
          <w:rFonts w:ascii="Calibri" w:hAnsi="Calibri"/>
          <w:b/>
          <w:sz w:val="22"/>
          <w:szCs w:val="22"/>
          <w:u w:val="single"/>
        </w:rPr>
        <w:t>A</w:t>
      </w:r>
    </w:p>
    <w:p w:rsidR="00C26C41" w:rsidRPr="006A170E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6A170E" w:rsidRDefault="00C26C41" w:rsidP="00F04C7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6A170E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C26C41" w:rsidRDefault="00C26C41" w:rsidP="00F04C77">
      <w:pPr>
        <w:pStyle w:val="Ttulo4"/>
        <w:keepLines w:val="0"/>
        <w:numPr>
          <w:ilvl w:val="1"/>
          <w:numId w:val="1"/>
        </w:numPr>
        <w:spacing w:before="0"/>
        <w:ind w:left="426" w:hanging="426"/>
        <w:jc w:val="both"/>
        <w:rPr>
          <w:rFonts w:ascii="Calibri" w:hAnsi="Calibri"/>
          <w:b w:val="0"/>
          <w:i w:val="0"/>
          <w:color w:val="auto"/>
          <w:sz w:val="22"/>
          <w:szCs w:val="22"/>
        </w:rPr>
      </w:pPr>
      <w:r w:rsidRPr="006A170E">
        <w:rPr>
          <w:rFonts w:ascii="Calibri" w:hAnsi="Calibr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CC4A3E" w:rsidRPr="006A170E">
        <w:rPr>
          <w:rFonts w:ascii="Calibri" w:hAnsi="Calibri"/>
          <w:b w:val="0"/>
          <w:i w:val="0"/>
          <w:color w:val="000000"/>
          <w:sz w:val="22"/>
          <w:szCs w:val="22"/>
        </w:rPr>
        <w:t>contratação de empresa especializada no fornecimento de Pneus</w:t>
      </w:r>
      <w:r w:rsidR="00720C2A" w:rsidRPr="006A170E">
        <w:rPr>
          <w:rFonts w:ascii="Calibri" w:hAnsi="Calibri"/>
          <w:b w:val="0"/>
          <w:i w:val="0"/>
          <w:color w:val="000000"/>
          <w:sz w:val="22"/>
          <w:szCs w:val="22"/>
        </w:rPr>
        <w:t xml:space="preserve"> Novos, Primeiro uso, primeira linha, nacionais ou importados</w:t>
      </w:r>
      <w:r w:rsidR="00CC4A3E" w:rsidRPr="006A170E">
        <w:rPr>
          <w:rFonts w:ascii="Calibri" w:hAnsi="Calibri"/>
          <w:b w:val="0"/>
          <w:i w:val="0"/>
          <w:color w:val="000000"/>
          <w:sz w:val="22"/>
          <w:szCs w:val="22"/>
        </w:rPr>
        <w:t>, câmara de ar e protetores de pneus para os veículos da frota do Município</w:t>
      </w:r>
      <w:r w:rsidR="00720C2A" w:rsidRPr="006A170E">
        <w:rPr>
          <w:rFonts w:ascii="Calibri" w:hAnsi="Calibri"/>
          <w:b w:val="0"/>
          <w:i w:val="0"/>
          <w:color w:val="000000"/>
          <w:sz w:val="22"/>
          <w:szCs w:val="22"/>
        </w:rPr>
        <w:t xml:space="preserve"> </w:t>
      </w:r>
      <w:r w:rsidRPr="006A170E">
        <w:rPr>
          <w:rFonts w:ascii="Calibri" w:hAnsi="Calibri"/>
          <w:b w:val="0"/>
          <w:i w:val="0"/>
          <w:color w:val="auto"/>
          <w:sz w:val="22"/>
          <w:szCs w:val="22"/>
        </w:rPr>
        <w:t xml:space="preserve">para atendimento </w:t>
      </w:r>
      <w:r w:rsidR="00A75851" w:rsidRPr="006A170E">
        <w:rPr>
          <w:rFonts w:ascii="Calibri" w:hAnsi="Calibr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 w:rsidRPr="006A170E">
        <w:rPr>
          <w:rFonts w:ascii="Calibri" w:hAnsi="Calibri"/>
          <w:b w:val="0"/>
          <w:i w:val="0"/>
          <w:color w:val="auto"/>
          <w:sz w:val="22"/>
          <w:szCs w:val="22"/>
        </w:rPr>
        <w:t>do Município de Maceió</w:t>
      </w:r>
      <w:r w:rsidRPr="006A170E">
        <w:rPr>
          <w:rFonts w:ascii="Calibri" w:hAnsi="Calibr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6F30B3" w:rsidRPr="006F30B3" w:rsidRDefault="006F30B3" w:rsidP="006F30B3"/>
    <w:p w:rsidR="007F7F1A" w:rsidRPr="006A170E" w:rsidRDefault="007F7F1A" w:rsidP="00F04C77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6A170E">
        <w:rPr>
          <w:rFonts w:ascii="Calibri" w:hAnsi="Calibri"/>
          <w:i w:val="0"/>
          <w:color w:val="auto"/>
          <w:kern w:val="32"/>
          <w:sz w:val="22"/>
          <w:szCs w:val="22"/>
        </w:rPr>
        <w:t xml:space="preserve">JUSTIFICATIVA </w:t>
      </w:r>
    </w:p>
    <w:p w:rsidR="00E827F3" w:rsidRPr="00E827F3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E827F3"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 w:rsidRPr="00E827F3"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 w:rsidRPr="00E827F3">
        <w:rPr>
          <w:rFonts w:asciiTheme="minorHAnsi" w:hAnsiTheme="minorHAnsi"/>
          <w:sz w:val="22"/>
          <w:szCs w:val="22"/>
        </w:rPr>
        <w:t>/2016.</w:t>
      </w:r>
    </w:p>
    <w:p w:rsidR="007F7F1A" w:rsidRPr="00E827F3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E827F3">
        <w:rPr>
          <w:rFonts w:asciiTheme="minorHAnsi" w:hAnsiTheme="minorHAnsi"/>
          <w:sz w:val="22"/>
          <w:szCs w:val="22"/>
        </w:rPr>
        <w:t xml:space="preserve">No âmbito da ARSER está a competência de </w:t>
      </w:r>
      <w:r w:rsidRPr="00E827F3"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 w:rsidRPr="00E827F3">
        <w:rPr>
          <w:rFonts w:ascii="Calibri" w:hAnsi="Calibri"/>
          <w:sz w:val="22"/>
          <w:szCs w:val="22"/>
        </w:rPr>
        <w:t xml:space="preserve">Administração Pública </w:t>
      </w:r>
      <w:r w:rsidRPr="00E827F3">
        <w:rPr>
          <w:rFonts w:ascii="Calibri" w:hAnsi="Calibri"/>
          <w:sz w:val="22"/>
          <w:szCs w:val="22"/>
        </w:rPr>
        <w:t>Municipal.</w:t>
      </w:r>
    </w:p>
    <w:p w:rsidR="007F7F1A" w:rsidRPr="006A170E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Pr="006A170E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Pr="006A170E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Pr="006A170E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unificação e centralização do procedimento de aquisição de materiais e serviços proporciona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Pr="006A170E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Pr="006A170E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legislação vigente que regula as aquisições no setor público alberga instrumentos que podem ser utilizados e possibilitam maior eficiência nas aquisições e melhoria na gestão, tais quais a adoção de Sistema de Registro de Preços – SRP.</w:t>
      </w:r>
    </w:p>
    <w:p w:rsidR="007F7F1A" w:rsidRPr="006A170E" w:rsidRDefault="007F7F1A" w:rsidP="00E827F3">
      <w:pPr>
        <w:numPr>
          <w:ilvl w:val="1"/>
          <w:numId w:val="3"/>
        </w:numPr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A vigência da Ata de Registro de Preços é de 12 (doze) meses;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Redução de volume de estoque;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Redução do número de licitações;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418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985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Previsão de aquisições frequentes do produto a ser licitado, diante de suas características e natureza;</w:t>
      </w:r>
    </w:p>
    <w:p w:rsidR="007F7F1A" w:rsidRPr="006A170E" w:rsidRDefault="007F7F1A" w:rsidP="00E827F3">
      <w:pPr>
        <w:numPr>
          <w:ilvl w:val="0"/>
          <w:numId w:val="2"/>
        </w:numPr>
        <w:tabs>
          <w:tab w:val="left" w:pos="1985"/>
        </w:tabs>
        <w:suppressAutoHyphens/>
        <w:ind w:left="1985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Impossibilidade de definir previamente a quantidade exata do objeto a ser adquirido.</w:t>
      </w:r>
    </w:p>
    <w:p w:rsidR="007F7F1A" w:rsidRPr="006A170E" w:rsidRDefault="007F7F1A" w:rsidP="00E827F3">
      <w:pPr>
        <w:numPr>
          <w:ilvl w:val="1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Nesse sentido, visando atender a demanda interna dos Órgãos e Entidades municipais, será mapeada demanda relativa</w:t>
      </w:r>
      <w:r w:rsidR="00B83E18" w:rsidRPr="006A170E">
        <w:rPr>
          <w:rFonts w:ascii="Calibri" w:hAnsi="Calibri"/>
          <w:sz w:val="22"/>
          <w:szCs w:val="22"/>
        </w:rPr>
        <w:t xml:space="preserve"> </w:t>
      </w:r>
      <w:r w:rsidR="003620BF" w:rsidRPr="006A170E">
        <w:rPr>
          <w:rFonts w:ascii="Calibri" w:hAnsi="Calibri"/>
          <w:color w:val="000000" w:themeColor="text1"/>
          <w:sz w:val="22"/>
          <w:szCs w:val="22"/>
        </w:rPr>
        <w:t>à</w:t>
      </w:r>
      <w:r w:rsidR="00B83E18" w:rsidRPr="006A170E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3620BF" w:rsidRPr="006A170E">
        <w:rPr>
          <w:rFonts w:ascii="Calibri" w:hAnsi="Calibri"/>
          <w:color w:val="000000"/>
          <w:sz w:val="22"/>
          <w:szCs w:val="20"/>
        </w:rPr>
        <w:t xml:space="preserve">contratação de empresa especializada no fornecimento de Pneus, </w:t>
      </w:r>
      <w:r w:rsidR="003620BF" w:rsidRPr="006A170E">
        <w:rPr>
          <w:rFonts w:ascii="Calibri" w:hAnsi="Calibri"/>
          <w:color w:val="000000"/>
          <w:sz w:val="22"/>
          <w:szCs w:val="20"/>
        </w:rPr>
        <w:lastRenderedPageBreak/>
        <w:t>câmara de ar e protetores de pneus para os veículos da frota deste Município,</w:t>
      </w:r>
      <w:r w:rsidRPr="006A170E">
        <w:rPr>
          <w:rFonts w:asciiTheme="minorHAnsi" w:hAnsiTheme="minorHAnsi" w:cstheme="minorHAnsi"/>
          <w:sz w:val="22"/>
          <w:szCs w:val="22"/>
        </w:rPr>
        <w:t xml:space="preserve"> para</w:t>
      </w:r>
      <w:r w:rsidRPr="006A170E">
        <w:rPr>
          <w:rFonts w:ascii="Calibri" w:hAnsi="Calibri"/>
          <w:sz w:val="22"/>
          <w:szCs w:val="22"/>
        </w:rPr>
        <w:t xml:space="preserve"> atendimento </w:t>
      </w:r>
      <w:r w:rsidR="00602E21" w:rsidRPr="006A170E">
        <w:rPr>
          <w:rFonts w:ascii="Calibri" w:hAnsi="Calibri"/>
          <w:sz w:val="22"/>
          <w:szCs w:val="22"/>
        </w:rPr>
        <w:t>a</w:t>
      </w:r>
      <w:r w:rsidRPr="006A170E">
        <w:rPr>
          <w:rFonts w:ascii="Calibri" w:hAnsi="Calibri"/>
          <w:sz w:val="22"/>
          <w:szCs w:val="22"/>
        </w:rPr>
        <w:t xml:space="preserve">s demandas de todos os </w:t>
      </w:r>
      <w:r w:rsidR="00602E21" w:rsidRPr="006A170E">
        <w:rPr>
          <w:rFonts w:ascii="Calibri" w:hAnsi="Calibri"/>
          <w:sz w:val="22"/>
          <w:szCs w:val="22"/>
        </w:rPr>
        <w:t xml:space="preserve">Órgãos </w:t>
      </w:r>
      <w:r w:rsidRPr="006A170E">
        <w:rPr>
          <w:rFonts w:ascii="Calibri" w:hAnsi="Calibri"/>
          <w:sz w:val="22"/>
          <w:szCs w:val="22"/>
        </w:rPr>
        <w:t xml:space="preserve">da </w:t>
      </w:r>
      <w:r w:rsidR="00602E21" w:rsidRPr="006A170E">
        <w:rPr>
          <w:rFonts w:ascii="Calibri" w:hAnsi="Calibri"/>
          <w:sz w:val="22"/>
          <w:szCs w:val="22"/>
        </w:rPr>
        <w:t xml:space="preserve">Administração Pública </w:t>
      </w:r>
      <w:r w:rsidRPr="006A170E">
        <w:rPr>
          <w:rFonts w:ascii="Calibri" w:hAnsi="Calibri"/>
          <w:sz w:val="22"/>
          <w:szCs w:val="22"/>
        </w:rPr>
        <w:t>Municipal.</w:t>
      </w:r>
    </w:p>
    <w:p w:rsidR="003620BF" w:rsidRPr="006A170E" w:rsidRDefault="007F7F1A" w:rsidP="00E827F3">
      <w:pPr>
        <w:numPr>
          <w:ilvl w:val="1"/>
          <w:numId w:val="3"/>
        </w:numPr>
        <w:ind w:left="567" w:hanging="567"/>
        <w:jc w:val="both"/>
        <w:rPr>
          <w:rFonts w:ascii="Calibri" w:hAnsi="Calibri"/>
          <w:color w:val="FF0000"/>
          <w:sz w:val="22"/>
          <w:szCs w:val="22"/>
        </w:rPr>
      </w:pP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A </w:t>
      </w:r>
      <w:r w:rsidRPr="006A170E">
        <w:rPr>
          <w:rFonts w:ascii="Calibri" w:hAnsi="Calibri"/>
          <w:color w:val="000000" w:themeColor="text1"/>
          <w:sz w:val="22"/>
          <w:szCs w:val="22"/>
        </w:rPr>
        <w:t>contratação</w:t>
      </w: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pretendida é considerada imprescindível devido</w:t>
      </w:r>
      <w:r w:rsidR="00B83E18"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3620BF" w:rsidRPr="006A170E">
        <w:rPr>
          <w:rFonts w:ascii="Calibri" w:hAnsi="Calibri"/>
          <w:color w:val="000000" w:themeColor="text1"/>
          <w:sz w:val="22"/>
          <w:szCs w:val="20"/>
        </w:rPr>
        <w:t xml:space="preserve">observância do desgaste dos </w:t>
      </w:r>
      <w:r w:rsidR="003620BF" w:rsidRPr="006A170E">
        <w:rPr>
          <w:rFonts w:ascii="Calibri" w:hAnsi="Calibri"/>
          <w:sz w:val="22"/>
          <w:szCs w:val="20"/>
        </w:rPr>
        <w:t>pneus dos veículos da frota do município de Maceió, por conta do uso prolongado, culminando com a sua incapacidade para o uso e, consequentemente, inviabilizando a utilização dos veículos nas atividades de deslocamento de servidores no decorrer de suas atividades laborais, além de tornar mais seguro o transporte corriqueiro, bem como melhorar o funcionamento das máquinas.</w:t>
      </w:r>
    </w:p>
    <w:p w:rsidR="007F7F1A" w:rsidRPr="006A170E" w:rsidRDefault="003620BF" w:rsidP="00E827F3">
      <w:pPr>
        <w:numPr>
          <w:ilvl w:val="1"/>
          <w:numId w:val="3"/>
        </w:numPr>
        <w:ind w:left="567" w:hanging="567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Justifica-se, ainda, para </w:t>
      </w:r>
      <w:r w:rsidRPr="006A170E">
        <w:rPr>
          <w:rFonts w:ascii="Calibri" w:hAnsi="Calibri"/>
          <w:color w:val="000000" w:themeColor="text1"/>
          <w:sz w:val="22"/>
          <w:szCs w:val="20"/>
        </w:rPr>
        <w:t xml:space="preserve">garantir a segurança na utilização dos veículos pertencentes </w:t>
      </w:r>
      <w:r w:rsidR="00C9414F" w:rsidRPr="006A170E">
        <w:rPr>
          <w:rFonts w:ascii="Calibri" w:hAnsi="Calibri"/>
          <w:color w:val="000000" w:themeColor="text1"/>
          <w:sz w:val="22"/>
          <w:szCs w:val="20"/>
        </w:rPr>
        <w:t xml:space="preserve">ao </w:t>
      </w:r>
      <w:r w:rsidR="000C4D01" w:rsidRPr="006A170E">
        <w:rPr>
          <w:rFonts w:ascii="Calibri" w:hAnsi="Calibri"/>
          <w:color w:val="000000" w:themeColor="text1"/>
          <w:sz w:val="22"/>
          <w:szCs w:val="20"/>
        </w:rPr>
        <w:t>município através do</w:t>
      </w:r>
      <w:r w:rsidR="00B83E18" w:rsidRPr="006A170E">
        <w:rPr>
          <w:rFonts w:ascii="Calibri" w:hAnsi="Calibri"/>
          <w:color w:val="000000" w:themeColor="text1"/>
          <w:sz w:val="22"/>
          <w:szCs w:val="20"/>
        </w:rPr>
        <w:t xml:space="preserve"> </w:t>
      </w:r>
      <w:r w:rsidR="000C4D01" w:rsidRPr="006A170E">
        <w:rPr>
          <w:rFonts w:ascii="Calibri" w:hAnsi="Calibri"/>
          <w:color w:val="000000" w:themeColor="text1"/>
          <w:sz w:val="22"/>
          <w:szCs w:val="20"/>
        </w:rPr>
        <w:t>emprego</w:t>
      </w:r>
      <w:r w:rsidRPr="006A170E">
        <w:rPr>
          <w:rFonts w:ascii="Calibri" w:hAnsi="Calibri"/>
          <w:color w:val="000000" w:themeColor="text1"/>
          <w:sz w:val="22"/>
          <w:szCs w:val="20"/>
        </w:rPr>
        <w:t xml:space="preserve"> d</w:t>
      </w:r>
      <w:r w:rsidRPr="006A170E">
        <w:rPr>
          <w:rFonts w:ascii="Calibri" w:hAnsi="Calibri"/>
          <w:sz w:val="22"/>
          <w:szCs w:val="20"/>
        </w:rPr>
        <w:t>e pneus que atendam os padrões recomendados pelas montadoras, que tenham procedência, estejam dentro das medidas recomendadas e constantes do manual do fabricante do veículo, observando-se as normas técnicas constantes da Portaria INMETRO nº 05, de 14/01/2000, ou outras em sua substituição, bem assim no REGULAMENTO TÉCNICO DA QUALIDADE PARA PNEUS NOVOS – RTQ-4</w:t>
      </w:r>
      <w:r w:rsidRPr="006A170E">
        <w:rPr>
          <w:rFonts w:ascii="Calibri" w:hAnsi="Calibri"/>
          <w:color w:val="000000" w:themeColor="text1"/>
          <w:sz w:val="22"/>
          <w:szCs w:val="20"/>
        </w:rPr>
        <w:t>1</w:t>
      </w:r>
      <w:r w:rsidR="00C9414F" w:rsidRPr="006A170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</w:t>
      </w:r>
    </w:p>
    <w:p w:rsidR="00FB322B" w:rsidRPr="006A170E" w:rsidRDefault="00FB322B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 w:cstheme="minorHAnsi"/>
          <w:b/>
          <w:kern w:val="32"/>
          <w:sz w:val="22"/>
          <w:szCs w:val="22"/>
        </w:rPr>
      </w:pPr>
      <w:r w:rsidRPr="006A170E">
        <w:rPr>
          <w:rFonts w:asciiTheme="minorHAnsi" w:hAnsiTheme="minorHAnsi" w:cstheme="minorHAnsi"/>
          <w:b/>
          <w:kern w:val="32"/>
          <w:sz w:val="22"/>
          <w:szCs w:val="22"/>
        </w:rPr>
        <w:t xml:space="preserve">DOS ANEXOS </w:t>
      </w:r>
    </w:p>
    <w:p w:rsidR="00FB322B" w:rsidRPr="006A170E" w:rsidRDefault="00FB322B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 w:cs="CIDFont+F1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Fazem parte integrante deste Termo de Referência os seguintes anexos:</w:t>
      </w:r>
    </w:p>
    <w:p w:rsidR="00FB322B" w:rsidRPr="006A170E" w:rsidRDefault="00EA05B2" w:rsidP="00F04C77">
      <w:pPr>
        <w:pStyle w:val="PargrafodaLista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ANEXO I</w:t>
      </w:r>
      <w:r w:rsidR="00FB322B" w:rsidRPr="006A170E">
        <w:rPr>
          <w:rFonts w:asciiTheme="minorHAnsi" w:eastAsia="Calibri" w:hAnsiTheme="minorHAnsi" w:cs="CIDFont+F1"/>
          <w:sz w:val="22"/>
          <w:szCs w:val="22"/>
        </w:rPr>
        <w:t xml:space="preserve"> – </w:t>
      </w:r>
      <w:r w:rsidR="004607F1" w:rsidRPr="006A170E">
        <w:rPr>
          <w:rFonts w:asciiTheme="minorHAnsi" w:hAnsiTheme="minorHAnsi"/>
          <w:sz w:val="22"/>
          <w:szCs w:val="22"/>
        </w:rPr>
        <w:t>QUADRO</w:t>
      </w:r>
      <w:r w:rsidR="00FF09BE" w:rsidRPr="006A170E">
        <w:rPr>
          <w:rFonts w:asciiTheme="minorHAnsi" w:hAnsiTheme="minorHAnsi"/>
          <w:sz w:val="22"/>
          <w:szCs w:val="22"/>
        </w:rPr>
        <w:t xml:space="preserve"> ESTIMATIVO GERAL </w:t>
      </w:r>
    </w:p>
    <w:p w:rsidR="00FB322B" w:rsidRPr="006A170E" w:rsidRDefault="00EA05B2" w:rsidP="00F04C77">
      <w:pPr>
        <w:pStyle w:val="PargrafodaLista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6A170E">
        <w:rPr>
          <w:rFonts w:asciiTheme="minorHAnsi" w:eastAsia="Calibri" w:hAnsiTheme="minorHAnsi" w:cs="CIDFont+F1"/>
          <w:sz w:val="22"/>
          <w:szCs w:val="22"/>
        </w:rPr>
        <w:t>ANEXO I</w:t>
      </w:r>
      <w:r w:rsidR="00FB322B" w:rsidRPr="006A170E">
        <w:rPr>
          <w:rFonts w:asciiTheme="minorHAnsi" w:eastAsia="Calibri" w:hAnsiTheme="minorHAnsi" w:cs="CIDFont+F1"/>
          <w:sz w:val="22"/>
          <w:szCs w:val="22"/>
        </w:rPr>
        <w:t>I –</w:t>
      </w:r>
      <w:r w:rsidR="004607F1" w:rsidRPr="006A170E">
        <w:rPr>
          <w:rFonts w:asciiTheme="minorHAnsi" w:hAnsiTheme="minorHAnsi"/>
          <w:sz w:val="22"/>
          <w:szCs w:val="22"/>
        </w:rPr>
        <w:t>Q</w:t>
      </w:r>
      <w:r w:rsidR="00FB322B" w:rsidRPr="006A170E">
        <w:rPr>
          <w:rFonts w:asciiTheme="minorHAnsi" w:hAnsiTheme="minorHAnsi"/>
          <w:sz w:val="22"/>
          <w:szCs w:val="22"/>
        </w:rPr>
        <w:t>U</w:t>
      </w:r>
      <w:r w:rsidR="004607F1" w:rsidRPr="006A170E">
        <w:rPr>
          <w:rFonts w:asciiTheme="minorHAnsi" w:hAnsiTheme="minorHAnsi"/>
          <w:sz w:val="22"/>
          <w:szCs w:val="22"/>
        </w:rPr>
        <w:t>A</w:t>
      </w:r>
      <w:r w:rsidR="00FB322B" w:rsidRPr="006A170E">
        <w:rPr>
          <w:rFonts w:asciiTheme="minorHAnsi" w:hAnsiTheme="minorHAnsi"/>
          <w:sz w:val="22"/>
          <w:szCs w:val="22"/>
        </w:rPr>
        <w:t>DRO DE LOCAL DE ENTREGA</w:t>
      </w:r>
      <w:r w:rsidR="004607F1" w:rsidRPr="006A170E">
        <w:rPr>
          <w:rFonts w:asciiTheme="minorHAnsi" w:hAnsiTheme="minorHAnsi"/>
          <w:sz w:val="22"/>
          <w:szCs w:val="22"/>
        </w:rPr>
        <w:t>.</w:t>
      </w:r>
    </w:p>
    <w:p w:rsidR="00EA05B2" w:rsidRPr="006A170E" w:rsidRDefault="00EA05B2" w:rsidP="00EA05B2">
      <w:pPr>
        <w:pStyle w:val="PargrafodaLista"/>
        <w:ind w:left="720"/>
        <w:rPr>
          <w:rFonts w:asciiTheme="minorHAnsi" w:hAnsiTheme="minorHAnsi"/>
          <w:sz w:val="22"/>
          <w:szCs w:val="22"/>
        </w:rPr>
      </w:pPr>
    </w:p>
    <w:p w:rsidR="007F7F1A" w:rsidRPr="006A170E" w:rsidRDefault="007F7F1A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DAS ESPECIFICAÇÕES, QUANTIDADES E LOCAL DE ENTREGA</w:t>
      </w:r>
    </w:p>
    <w:p w:rsidR="007F7F1A" w:rsidRDefault="007F7F1A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As especificações, quantidades estimadas, bem como todas as informações complementares para a perfeita e regular </w:t>
      </w:r>
      <w:r w:rsidRPr="006A170E">
        <w:rPr>
          <w:rFonts w:ascii="Calibri" w:eastAsia="Calibri" w:hAnsi="Calibri"/>
          <w:sz w:val="22"/>
          <w:szCs w:val="22"/>
        </w:rPr>
        <w:t>execução</w:t>
      </w:r>
      <w:r w:rsidRPr="006A170E">
        <w:rPr>
          <w:rFonts w:ascii="Calibri" w:hAnsi="Calibri"/>
          <w:sz w:val="22"/>
          <w:szCs w:val="22"/>
        </w:rPr>
        <w:t xml:space="preserve"> do objeto deste Termo de Referência estão descritas no </w:t>
      </w:r>
      <w:r w:rsidRPr="006A170E">
        <w:rPr>
          <w:rFonts w:ascii="Calibri" w:hAnsi="Calibri"/>
          <w:b/>
          <w:sz w:val="22"/>
          <w:szCs w:val="22"/>
        </w:rPr>
        <w:t>ANEXO I</w:t>
      </w:r>
      <w:r w:rsidRPr="006A170E">
        <w:rPr>
          <w:rFonts w:ascii="Calibri" w:hAnsi="Calibri"/>
          <w:sz w:val="22"/>
          <w:szCs w:val="22"/>
        </w:rPr>
        <w:t>.</w:t>
      </w:r>
    </w:p>
    <w:p w:rsidR="00690125" w:rsidRPr="006A170E" w:rsidRDefault="00690125" w:rsidP="00690125">
      <w:pPr>
        <w:pStyle w:val="PargrafodaLista"/>
        <w:ind w:left="426"/>
        <w:jc w:val="both"/>
        <w:rPr>
          <w:rFonts w:ascii="Calibri" w:hAnsi="Calibri"/>
          <w:sz w:val="22"/>
          <w:szCs w:val="22"/>
        </w:rPr>
      </w:pPr>
    </w:p>
    <w:p w:rsidR="00690125" w:rsidRDefault="00690125" w:rsidP="00690125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="Calibri" w:hAnsi="Calibri"/>
          <w:b/>
          <w:kern w:val="32"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MODALIDADE DA LICITAÇÃO E CRITÉRIO DE JULGAMENTO</w:t>
      </w:r>
    </w:p>
    <w:p w:rsidR="00873D2C" w:rsidRPr="00E3715F" w:rsidRDefault="00873D2C" w:rsidP="00873D2C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>A aquisição dar-se-á pela modalidade licitatória denominada pregão, em sua forma eletrônica, tendo como critério de julgamento e classificação das propostas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, o menor preço por </w:t>
      </w:r>
      <w:r>
        <w:rPr>
          <w:rFonts w:asciiTheme="minorHAnsi" w:hAnsiTheme="minorHAnsi"/>
          <w:snapToGrid w:val="0"/>
          <w:sz w:val="22"/>
          <w:szCs w:val="22"/>
        </w:rPr>
        <w:t>item</w:t>
      </w:r>
      <w:r w:rsidRPr="00F711D3">
        <w:rPr>
          <w:rFonts w:asciiTheme="minorHAnsi" w:hAnsiTheme="minorHAnsi"/>
          <w:snapToGrid w:val="0"/>
          <w:sz w:val="22"/>
          <w:szCs w:val="22"/>
        </w:rPr>
        <w:t>,</w:t>
      </w:r>
      <w:r>
        <w:rPr>
          <w:rFonts w:asciiTheme="minorHAnsi" w:hAnsiTheme="minorHAnsi"/>
          <w:snapToGrid w:val="0"/>
          <w:sz w:val="22"/>
          <w:szCs w:val="22"/>
        </w:rPr>
        <w:t xml:space="preserve"> tendo como referência o valor estimado,</w:t>
      </w:r>
      <w:r w:rsidRPr="00F711D3">
        <w:rPr>
          <w:rFonts w:asciiTheme="minorHAnsi" w:hAnsiTheme="minorHAnsi"/>
          <w:snapToGrid w:val="0"/>
          <w:sz w:val="22"/>
          <w:szCs w:val="22"/>
        </w:rPr>
        <w:t xml:space="preserve"> observadas</w:t>
      </w:r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873D2C" w:rsidRPr="009E0EC1" w:rsidRDefault="00873D2C" w:rsidP="00873D2C">
      <w:pPr>
        <w:pStyle w:val="PargrafodaLista"/>
        <w:numPr>
          <w:ilvl w:val="1"/>
          <w:numId w:val="4"/>
        </w:numPr>
        <w:ind w:left="0" w:firstLine="0"/>
        <w:jc w:val="both"/>
        <w:rPr>
          <w:rFonts w:ascii="Calibri" w:hAnsi="Calibri" w:cs="Calibri"/>
          <w:snapToGrid w:val="0"/>
          <w:sz w:val="22"/>
          <w:szCs w:val="22"/>
        </w:rPr>
      </w:pPr>
      <w:r w:rsidRPr="009E0EC1">
        <w:rPr>
          <w:rFonts w:ascii="Calibri" w:hAnsi="Calibri" w:cs="Calibri"/>
          <w:sz w:val="22"/>
          <w:szCs w:val="22"/>
        </w:rPr>
        <w:t xml:space="preserve">O pregão eletrônico ocorrerá sob o </w:t>
      </w:r>
      <w:r w:rsidRPr="009E0EC1">
        <w:rPr>
          <w:rFonts w:ascii="Calibri" w:hAnsi="Calibri" w:cs="Calibri"/>
          <w:sz w:val="22"/>
          <w:szCs w:val="22"/>
          <w:u w:val="single"/>
        </w:rPr>
        <w:t>modo de disputa Aberto e Fechado</w:t>
      </w:r>
      <w:r w:rsidRPr="009E0EC1">
        <w:rPr>
          <w:rFonts w:ascii="Calibri" w:hAnsi="Calibri" w:cs="Calibri"/>
          <w:sz w:val="22"/>
          <w:szCs w:val="22"/>
        </w:rPr>
        <w:t>, onde os licitantes apresentarão lances públicos e sucessivos, com lance final e fechado</w:t>
      </w:r>
    </w:p>
    <w:p w:rsidR="00873D2C" w:rsidRPr="00873D2C" w:rsidRDefault="00873D2C" w:rsidP="00873D2C">
      <w:pPr>
        <w:pStyle w:val="PargrafodaLista"/>
        <w:numPr>
          <w:ilvl w:val="2"/>
          <w:numId w:val="15"/>
        </w:numPr>
        <w:ind w:hanging="153"/>
        <w:jc w:val="both"/>
        <w:rPr>
          <w:rFonts w:ascii="Calibri" w:hAnsi="Calibri" w:cs="Calibri"/>
          <w:snapToGrid w:val="0"/>
          <w:sz w:val="22"/>
          <w:szCs w:val="22"/>
        </w:rPr>
      </w:pPr>
      <w:r w:rsidRPr="00873D2C">
        <w:rPr>
          <w:rFonts w:ascii="Calibri" w:hAnsi="Calibri" w:cs="Calibri"/>
          <w:sz w:val="22"/>
          <w:szCs w:val="22"/>
        </w:rPr>
        <w:t xml:space="preserve"> Tendo em vista o Poder discricionário da Administração Pública, bem como o disposto no art. 14 do Decreto 10.024/2019, fora definido este modo de disputa vislumbrando atender ao princípio da vantajosidade, uma vez que este modo proporciona a escolha da proposta mais vantajosa à Administração Pública. </w:t>
      </w:r>
    </w:p>
    <w:p w:rsidR="00873D2C" w:rsidRDefault="00873D2C" w:rsidP="00873D2C">
      <w:pPr>
        <w:pStyle w:val="PargrafodaLista"/>
        <w:numPr>
          <w:ilvl w:val="1"/>
          <w:numId w:val="4"/>
        </w:numPr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Pelo interesse da administração pública, os valores de referência não serão divulgados.</w:t>
      </w:r>
    </w:p>
    <w:p w:rsidR="00690125" w:rsidRDefault="00690125" w:rsidP="00690125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690125" w:rsidRDefault="00690125" w:rsidP="00690125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690125" w:rsidRPr="000C4D01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/>
          <w:b/>
          <w:color w:val="000000" w:themeColor="text1"/>
          <w:sz w:val="22"/>
          <w:szCs w:val="22"/>
        </w:rPr>
      </w:pPr>
      <w:r w:rsidRPr="000C4D01">
        <w:rPr>
          <w:rFonts w:ascii="Calibri" w:eastAsia="Calibri" w:hAnsi="Calibri"/>
          <w:color w:val="000000" w:themeColor="text1"/>
          <w:sz w:val="22"/>
          <w:szCs w:val="22"/>
        </w:rPr>
        <w:t>As despesas decorrentes da contratação do objeto deste Termo de Referência correrão à conta dos recursos específicos consignados no Orçamento dos Órgãos e Entidades do Município de Maceió participantes na Ata de Registro de Preço.</w:t>
      </w:r>
    </w:p>
    <w:p w:rsidR="00690125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690125" w:rsidRDefault="00690125" w:rsidP="00690125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690125" w:rsidRPr="00936A98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/>
          <w:color w:val="000000" w:themeColor="text1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</w:t>
      </w:r>
      <w:r w:rsidR="00936A98" w:rsidRPr="00936A98">
        <w:rPr>
          <w:rFonts w:ascii="Calibri" w:eastAsia="Calibri" w:hAnsi="Calibri" w:cs="Calibri"/>
          <w:color w:val="000000" w:themeColor="text1"/>
          <w:sz w:val="22"/>
          <w:szCs w:val="22"/>
        </w:rPr>
        <w:t>obedecendo o item 7.2 deste termo;</w:t>
      </w:r>
    </w:p>
    <w:p w:rsidR="00873D2C" w:rsidRPr="00907A1B" w:rsidRDefault="00873D2C" w:rsidP="00873D2C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907A1B">
        <w:rPr>
          <w:rFonts w:ascii="Calibri" w:eastAsia="Calibri" w:hAnsi="Calibri" w:cs="Calibri"/>
          <w:sz w:val="22"/>
          <w:szCs w:val="22"/>
        </w:rPr>
        <w:lastRenderedPageBreak/>
        <w:t>A Contratante não estará obrigada a adquirir os produtos registrados, contudo, ao fazê-lo,</w:t>
      </w:r>
      <w:r>
        <w:rPr>
          <w:rFonts w:ascii="Calibri" w:eastAsia="Calibri" w:hAnsi="Calibri" w:cs="Calibri"/>
          <w:sz w:val="22"/>
          <w:szCs w:val="22"/>
        </w:rPr>
        <w:t xml:space="preserve"> cada participante</w:t>
      </w:r>
      <w:r w:rsidRPr="00907A1B">
        <w:rPr>
          <w:rFonts w:ascii="Calibri" w:eastAsia="Calibri" w:hAnsi="Calibri" w:cs="Calibri"/>
          <w:sz w:val="22"/>
          <w:szCs w:val="22"/>
        </w:rPr>
        <w:t xml:space="preserve"> solicitará</w:t>
      </w:r>
      <w:r>
        <w:rPr>
          <w:rFonts w:ascii="Calibri" w:eastAsia="Calibri" w:hAnsi="Calibri" w:cs="Calibri"/>
          <w:sz w:val="22"/>
          <w:szCs w:val="22"/>
        </w:rPr>
        <w:t xml:space="preserve"> individualmente</w:t>
      </w:r>
      <w:r w:rsidRPr="00907A1B">
        <w:rPr>
          <w:rFonts w:ascii="Calibri" w:eastAsia="Calibri" w:hAnsi="Calibri" w:cs="Calibri"/>
          <w:sz w:val="22"/>
          <w:szCs w:val="22"/>
        </w:rPr>
        <w:t xml:space="preserve"> um percentual mínimo de </w:t>
      </w:r>
      <w:r>
        <w:rPr>
          <w:rFonts w:ascii="Calibri" w:eastAsia="Calibri" w:hAnsi="Calibri" w:cs="Calibri"/>
          <w:sz w:val="22"/>
          <w:szCs w:val="22"/>
        </w:rPr>
        <w:t>1</w:t>
      </w:r>
      <w:r w:rsidRPr="00907A1B">
        <w:rPr>
          <w:rFonts w:ascii="Calibri" w:eastAsia="Calibri" w:hAnsi="Calibri" w:cs="Calibri"/>
          <w:sz w:val="22"/>
          <w:szCs w:val="22"/>
        </w:rPr>
        <w:t>% (</w:t>
      </w:r>
      <w:r>
        <w:rPr>
          <w:rFonts w:ascii="Calibri" w:eastAsia="Calibri" w:hAnsi="Calibri" w:cs="Calibri"/>
          <w:sz w:val="22"/>
          <w:szCs w:val="22"/>
        </w:rPr>
        <w:t xml:space="preserve">um </w:t>
      </w:r>
      <w:r w:rsidRPr="00907A1B">
        <w:rPr>
          <w:rFonts w:ascii="Calibri" w:eastAsia="Calibri" w:hAnsi="Calibri" w:cs="Calibri"/>
          <w:sz w:val="22"/>
          <w:szCs w:val="22"/>
        </w:rPr>
        <w:t>por cento)</w:t>
      </w:r>
      <w:r>
        <w:rPr>
          <w:rFonts w:ascii="Calibri" w:eastAsia="Calibri" w:hAnsi="Calibri" w:cs="Calibri"/>
          <w:sz w:val="22"/>
          <w:szCs w:val="22"/>
        </w:rPr>
        <w:t>, do</w:t>
      </w:r>
      <w:r w:rsidRPr="00907A1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seu quantitativo registrado para cada item.</w:t>
      </w:r>
    </w:p>
    <w:p w:rsidR="00690125" w:rsidRPr="0067330A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7330A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690125" w:rsidRPr="002F585F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7330A">
        <w:rPr>
          <w:rFonts w:ascii="Calibri" w:eastAsia="Calibri" w:hAnsi="Calibri" w:cs="Calibri"/>
          <w:sz w:val="22"/>
          <w:szCs w:val="22"/>
        </w:rPr>
        <w:t>O prazo previsto para entrega deverá ser de até 30(trinta) dias consecutivos, contados do recebimento da Nota de Empenho/Ordem de Fornecimento</w:t>
      </w:r>
      <w:r w:rsidRPr="00663EA7">
        <w:rPr>
          <w:rFonts w:ascii="Calibri" w:eastAsia="Calibri" w:hAnsi="Calibri" w:cs="Calibri"/>
          <w:sz w:val="22"/>
          <w:szCs w:val="22"/>
        </w:rPr>
        <w:t xml:space="preserve"> (via e-mail ou correios) ou retirado na sede da </w:t>
      </w:r>
      <w:r w:rsidRPr="002F585F">
        <w:rPr>
          <w:rFonts w:ascii="Calibri" w:eastAsia="Calibri" w:hAnsi="Calibri" w:cs="Calibri"/>
          <w:sz w:val="22"/>
          <w:szCs w:val="22"/>
        </w:rPr>
        <w:t>Contratante;</w:t>
      </w:r>
    </w:p>
    <w:p w:rsidR="00690125" w:rsidRDefault="00690125" w:rsidP="00690125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2F585F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2F585F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Órgão ou Entidade do Município de Maceió, acompanhados da documentação fiscal, juntamente </w:t>
      </w:r>
      <w:r w:rsidRPr="00A21B0C">
        <w:rPr>
          <w:rFonts w:ascii="Calibri" w:eastAsia="Calibri" w:hAnsi="Calibri" w:cs="Times New Roman"/>
          <w:color w:val="auto"/>
          <w:sz w:val="22"/>
          <w:szCs w:val="22"/>
        </w:rPr>
        <w:t>com cópia da Nota de Empenho/Ordem de Fornecimento, no horário das 08h00 às 14h00 de</w:t>
      </w:r>
      <w:r>
        <w:rPr>
          <w:rFonts w:ascii="Calibri" w:eastAsia="Calibri" w:hAnsi="Calibri" w:cs="Times New Roman"/>
          <w:color w:val="auto"/>
          <w:sz w:val="22"/>
          <w:szCs w:val="22"/>
        </w:rPr>
        <w:t xml:space="preserve"> </w:t>
      </w:r>
      <w:r w:rsidRPr="00A21B0C">
        <w:rPr>
          <w:rFonts w:ascii="Calibri" w:eastAsia="Calibri" w:hAnsi="Calibri" w:cs="Times New Roman"/>
          <w:color w:val="auto"/>
          <w:sz w:val="22"/>
          <w:szCs w:val="22"/>
        </w:rPr>
        <w:t xml:space="preserve">segunda a sexta-feira. </w:t>
      </w:r>
    </w:p>
    <w:p w:rsidR="00690125" w:rsidRPr="00690125" w:rsidRDefault="00690125" w:rsidP="00690125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hAnsi="Calibri" w:cs="Times New Roman"/>
          <w:color w:val="auto"/>
          <w:sz w:val="22"/>
          <w:szCs w:val="22"/>
        </w:rPr>
      </w:pPr>
      <w:r w:rsidRPr="00690125">
        <w:rPr>
          <w:rFonts w:ascii="Calibri" w:hAnsi="Calibri" w:cs="Times New Roman"/>
          <w:color w:val="auto"/>
          <w:sz w:val="22"/>
          <w:szCs w:val="22"/>
        </w:rPr>
        <w:t xml:space="preserve">Não serão aceitos pneus recauchutados, </w:t>
      </w:r>
      <w:proofErr w:type="spellStart"/>
      <w:r w:rsidRPr="00690125">
        <w:rPr>
          <w:rFonts w:ascii="Calibri" w:hAnsi="Calibri" w:cs="Times New Roman"/>
          <w:color w:val="auto"/>
          <w:sz w:val="22"/>
          <w:szCs w:val="22"/>
        </w:rPr>
        <w:t>remanufaturados</w:t>
      </w:r>
      <w:proofErr w:type="spellEnd"/>
      <w:r w:rsidRPr="00690125">
        <w:rPr>
          <w:rFonts w:ascii="Calibri" w:hAnsi="Calibri" w:cs="Times New Roman"/>
          <w:color w:val="auto"/>
          <w:sz w:val="22"/>
          <w:szCs w:val="22"/>
        </w:rPr>
        <w:t>, reciclados, reformados, recondicionados, recapados ou outros de qualquer natureza semelhante.</w:t>
      </w:r>
    </w:p>
    <w:p w:rsidR="00690125" w:rsidRDefault="00690125" w:rsidP="00690125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63EA7">
        <w:rPr>
          <w:rFonts w:ascii="Calibri" w:eastAsia="Calibri" w:hAnsi="Calibri" w:cs="Calibri"/>
          <w:sz w:val="22"/>
          <w:szCs w:val="22"/>
        </w:rPr>
        <w:t>A Contratante poderá se recusar a receber os produtos, caso estes estejam em desacordo com a proposta apresentada pela Contratada, fato que será devidamente caracterizado e comunicado à empresa, sem que a esta caiba direito de indenização.</w:t>
      </w:r>
    </w:p>
    <w:p w:rsidR="007F7F1A" w:rsidRPr="006A170E" w:rsidRDefault="007F7F1A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6F30B3" w:rsidRDefault="007F7F1A" w:rsidP="00632677">
      <w:pPr>
        <w:pStyle w:val="PargrafodaLista"/>
        <w:numPr>
          <w:ilvl w:val="2"/>
          <w:numId w:val="11"/>
        </w:numPr>
        <w:tabs>
          <w:tab w:val="left" w:pos="284"/>
          <w:tab w:val="left" w:pos="851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F30B3">
        <w:rPr>
          <w:rFonts w:asciiTheme="minorHAnsi" w:hAnsiTheme="minorHAnsi" w:cstheme="minorHAnsi"/>
          <w:sz w:val="22"/>
          <w:szCs w:val="22"/>
        </w:rPr>
        <w:t>O(s) objeto(s) serão recebidos</w:t>
      </w:r>
      <w:r w:rsidR="006F30B3">
        <w:rPr>
          <w:rFonts w:asciiTheme="minorHAnsi" w:hAnsiTheme="minorHAnsi" w:cstheme="minorHAnsi"/>
          <w:sz w:val="22"/>
          <w:szCs w:val="22"/>
        </w:rPr>
        <w:t xml:space="preserve"> p</w:t>
      </w:r>
      <w:r w:rsidRPr="006F30B3">
        <w:rPr>
          <w:rFonts w:asciiTheme="minorHAnsi" w:hAnsiTheme="minorHAnsi" w:cstheme="minorHAnsi"/>
          <w:sz w:val="22"/>
          <w:szCs w:val="22"/>
        </w:rPr>
        <w:t>elo servidor responsável no ato da entrega;</w:t>
      </w:r>
    </w:p>
    <w:p w:rsidR="007F7F1A" w:rsidRPr="006A170E" w:rsidRDefault="007F7F1A" w:rsidP="00F04C77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A170E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6A170E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6A170E" w:rsidRDefault="00283E55" w:rsidP="00F04C77">
      <w:pPr>
        <w:pStyle w:val="Default"/>
        <w:numPr>
          <w:ilvl w:val="0"/>
          <w:numId w:val="6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6F30B3">
        <w:rPr>
          <w:rFonts w:asciiTheme="minorHAnsi" w:hAnsiTheme="minorHAnsi"/>
          <w:b/>
          <w:sz w:val="22"/>
          <w:szCs w:val="22"/>
        </w:rPr>
        <w:t>Definitivamente</w:t>
      </w:r>
      <w:r w:rsidRPr="006A170E">
        <w:rPr>
          <w:rFonts w:asciiTheme="minorHAnsi" w:hAnsiTheme="minorHAnsi"/>
          <w:sz w:val="22"/>
          <w:szCs w:val="22"/>
        </w:rPr>
        <w:t xml:space="preserve">, após a verificação da qualidade e quantidade do material e </w:t>
      </w:r>
      <w:r w:rsidR="0072637D" w:rsidRPr="006A170E">
        <w:rPr>
          <w:rFonts w:asciiTheme="minorHAnsi" w:hAnsiTheme="minorHAnsi"/>
          <w:sz w:val="22"/>
          <w:szCs w:val="22"/>
        </w:rPr>
        <w:t>consequente</w:t>
      </w:r>
      <w:r w:rsidRPr="006A170E">
        <w:rPr>
          <w:rFonts w:asciiTheme="minorHAnsi" w:hAnsiTheme="minorHAnsi"/>
          <w:sz w:val="22"/>
          <w:szCs w:val="22"/>
        </w:rPr>
        <w:t xml:space="preserve"> aceitação, no prazo de até 05 (cinco) dia úteis. Só então será atestada a nota fiscal. </w:t>
      </w:r>
    </w:p>
    <w:p w:rsidR="00283E55" w:rsidRPr="006A170E" w:rsidRDefault="00283E55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A170E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30705" w:rsidRPr="006A170E" w:rsidRDefault="00230705" w:rsidP="00F04C77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O ato de recebimento dos produtos, não importa em sua aceitação. A critério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6A170E" w:rsidRDefault="00230705" w:rsidP="00F04C77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Os produtos deverão atender aos dispositivos da Lei nº 8.078/90 (Código de Defesa do Consumidor) e às demais legislação pertinentes</w:t>
      </w:r>
      <w:r w:rsidR="00787377" w:rsidRPr="006A170E">
        <w:rPr>
          <w:rFonts w:ascii="Calibri" w:eastAsia="Calibri" w:hAnsi="Calibri" w:cs="Calibri"/>
          <w:sz w:val="22"/>
          <w:szCs w:val="22"/>
        </w:rPr>
        <w:t>;</w:t>
      </w:r>
    </w:p>
    <w:p w:rsidR="00787377" w:rsidRPr="006A170E" w:rsidRDefault="00787377" w:rsidP="00F04C77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6A170E">
        <w:rPr>
          <w:rFonts w:ascii="Calibri" w:eastAsia="Calibri" w:hAnsi="Calibri" w:cs="Times New Roman"/>
          <w:color w:val="auto"/>
          <w:sz w:val="22"/>
          <w:szCs w:val="22"/>
        </w:rPr>
        <w:t>Após a entrega do devido produto, deverá ser providenciado à imediata substituição</w:t>
      </w:r>
      <w:r w:rsidR="00B71E18" w:rsidRPr="006A170E">
        <w:rPr>
          <w:rFonts w:ascii="Calibri" w:eastAsia="Calibri" w:hAnsi="Calibri" w:cs="Times New Roman"/>
          <w:color w:val="auto"/>
          <w:sz w:val="22"/>
          <w:szCs w:val="22"/>
        </w:rPr>
        <w:t>/utilização</w:t>
      </w:r>
      <w:r w:rsidRPr="006A170E">
        <w:rPr>
          <w:rFonts w:ascii="Calibri" w:eastAsia="Calibri" w:hAnsi="Calibri" w:cs="Times New Roman"/>
          <w:color w:val="auto"/>
          <w:sz w:val="22"/>
          <w:szCs w:val="22"/>
        </w:rPr>
        <w:t xml:space="preserve"> pelo setor de transporte competente de cada Órgão, dentro de prazo máximo de 30 (trinta) dias, uma vez que pela do objeto apresentado, não será razoável mantê-lo em estoque no almoxarifado devido ao desgaste com o percorrer do tempo.</w:t>
      </w:r>
    </w:p>
    <w:p w:rsidR="00787377" w:rsidRDefault="00787377" w:rsidP="00F04C77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6A170E">
        <w:rPr>
          <w:rFonts w:ascii="Calibri" w:eastAsia="Calibri" w:hAnsi="Calibri" w:cs="Calibri"/>
          <w:sz w:val="22"/>
          <w:szCs w:val="22"/>
        </w:rPr>
        <w:t>Os produtos serão objeto de recebimento provisório e definitivo, nos termos do art. 73, II “a” e “b”, da lei Federal nº 8.666/1993.</w:t>
      </w:r>
    </w:p>
    <w:p w:rsidR="00632677" w:rsidRPr="0067330A" w:rsidRDefault="00632677" w:rsidP="00632677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bookmarkStart w:id="1" w:name="_Toc463423137"/>
      <w:r w:rsidRPr="0067330A">
        <w:rPr>
          <w:rFonts w:ascii="Calibri" w:hAnsi="Calibri"/>
          <w:b/>
          <w:sz w:val="22"/>
          <w:szCs w:val="22"/>
        </w:rPr>
        <w:t>DA GARANTIA</w:t>
      </w:r>
      <w:bookmarkEnd w:id="1"/>
    </w:p>
    <w:p w:rsidR="00632677" w:rsidRPr="0067330A" w:rsidRDefault="00632677" w:rsidP="00632677">
      <w:pPr>
        <w:pStyle w:val="PargrafodaLista"/>
        <w:numPr>
          <w:ilvl w:val="1"/>
          <w:numId w:val="4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67330A">
        <w:rPr>
          <w:rFonts w:ascii="Calibri" w:hAnsi="Calibri"/>
          <w:sz w:val="22"/>
          <w:szCs w:val="22"/>
        </w:rPr>
        <w:t xml:space="preserve">A Contratada fica obrigada a fornecer garantia de no mínimo 12 (doze) meses, ou maior, se assim o for pelo fabricante, contados da data da entrega do item correspondente à Ordem de Fornecimento e aceitação definitiva dos </w:t>
      </w:r>
      <w:r>
        <w:rPr>
          <w:rFonts w:ascii="Calibri" w:hAnsi="Calibri"/>
          <w:sz w:val="22"/>
          <w:szCs w:val="22"/>
        </w:rPr>
        <w:t>produto</w:t>
      </w:r>
      <w:r w:rsidRPr="0067330A">
        <w:rPr>
          <w:rFonts w:ascii="Calibri" w:hAnsi="Calibri"/>
          <w:sz w:val="22"/>
          <w:szCs w:val="22"/>
        </w:rPr>
        <w:t>s.</w:t>
      </w:r>
    </w:p>
    <w:p w:rsidR="00632677" w:rsidRPr="00615520" w:rsidRDefault="00632677" w:rsidP="00632677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632677" w:rsidRPr="004E53E8" w:rsidRDefault="00632677" w:rsidP="00632677">
      <w:pPr>
        <w:pStyle w:val="Default"/>
        <w:numPr>
          <w:ilvl w:val="1"/>
          <w:numId w:val="4"/>
        </w:numPr>
        <w:tabs>
          <w:tab w:val="left" w:pos="142"/>
          <w:tab w:val="left" w:pos="426"/>
        </w:tabs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15520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executou ou está executando, de maneira satisfatória, fornecimentos </w:t>
      </w:r>
      <w:r>
        <w:rPr>
          <w:rFonts w:asciiTheme="minorHAnsi" w:hAnsiTheme="minorHAnsi" w:cstheme="minorHAnsi"/>
          <w:sz w:val="22"/>
          <w:szCs w:val="22"/>
        </w:rPr>
        <w:t>de</w:t>
      </w:r>
      <w:r w:rsidRPr="008018B6">
        <w:rPr>
          <w:rFonts w:ascii="Calibri" w:hAnsi="Calibri"/>
          <w:sz w:val="22"/>
          <w:szCs w:val="20"/>
        </w:rPr>
        <w:t xml:space="preserve"> Pneus, câmara de </w:t>
      </w:r>
      <w:r>
        <w:rPr>
          <w:rFonts w:ascii="Calibri" w:hAnsi="Calibri"/>
          <w:sz w:val="22"/>
          <w:szCs w:val="20"/>
        </w:rPr>
        <w:t>ar e protetores de pneus para</w:t>
      </w:r>
      <w:r w:rsidRPr="008018B6">
        <w:rPr>
          <w:rFonts w:ascii="Calibri" w:hAnsi="Calibri"/>
          <w:sz w:val="22"/>
          <w:szCs w:val="20"/>
        </w:rPr>
        <w:t xml:space="preserve"> veículos</w:t>
      </w:r>
      <w:r>
        <w:rPr>
          <w:rFonts w:ascii="Calibri" w:hAnsi="Calibri"/>
          <w:sz w:val="22"/>
          <w:szCs w:val="20"/>
        </w:rPr>
        <w:t>.</w:t>
      </w:r>
    </w:p>
    <w:p w:rsidR="00632677" w:rsidRPr="004E53E8" w:rsidRDefault="00632677" w:rsidP="00632677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632677" w:rsidRDefault="00632677" w:rsidP="00632677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632677" w:rsidRDefault="00632677" w:rsidP="00632677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Assinar a ARP em até 05 (cinco) dias contados da convocação para sua formalização pela Contratante.</w:t>
      </w:r>
    </w:p>
    <w:p w:rsidR="00632677" w:rsidRPr="0067330A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Atender a todos os pedidos efetuados durante a vigência da Ata no limite do quantitativo </w:t>
      </w:r>
      <w:r w:rsidRPr="0067330A">
        <w:rPr>
          <w:rFonts w:ascii="Calibri" w:hAnsi="Calibri"/>
          <w:sz w:val="22"/>
          <w:szCs w:val="22"/>
        </w:rPr>
        <w:t>registrado;</w:t>
      </w:r>
    </w:p>
    <w:p w:rsidR="00632677" w:rsidRPr="0067330A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>Entregar o objeto deste Termo de Referência nos endereços constante no anexo II</w:t>
      </w:r>
      <w:r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Pr="0067330A">
        <w:rPr>
          <w:rFonts w:ascii="Calibri" w:hAnsi="Calibri"/>
          <w:color w:val="000000" w:themeColor="text1"/>
          <w:sz w:val="22"/>
          <w:szCs w:val="22"/>
        </w:rPr>
        <w:t>deste documento, dentro do prazo estabelecido no item 6, mediante apresentação da Nota Fiscal devidamente preenchida, constando detalhadamente as informações necessárias, conforme proposta da empresa vencedora;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Executar o objeto do contrato nas condições pactuadas neste documento;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Providenciar a correção das deficiências, falhas ou irregularidades constatadas pela Contratante na entrega do</w:t>
      </w:r>
      <w:r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Contratante ou a terceiros, decorrentes de sua culpa ou dolo, quando da execução do </w:t>
      </w:r>
      <w:r w:rsidR="00E82C3B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>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Acatar as orientações da Contratante, sujeitando-se a mais ampla e irrestrita fiscalização, prestando esclarecimentos solicitados e atendendo às reclamações formuladas;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Manter todas as condições de habilitação aferidas no processo de contratação durante a vigência </w:t>
      </w:r>
      <w:r w:rsidRPr="001B3AE5">
        <w:rPr>
          <w:rFonts w:ascii="Calibri" w:hAnsi="Calibri"/>
          <w:color w:val="auto"/>
          <w:sz w:val="22"/>
          <w:szCs w:val="22"/>
        </w:rPr>
        <w:t>d</w:t>
      </w:r>
      <w:r w:rsidR="001B3AE5" w:rsidRPr="001B3AE5">
        <w:rPr>
          <w:rFonts w:ascii="Calibri" w:hAnsi="Calibri"/>
          <w:color w:val="auto"/>
          <w:sz w:val="22"/>
          <w:szCs w:val="22"/>
        </w:rPr>
        <w:t>a</w:t>
      </w:r>
      <w:r w:rsidRPr="001B3AE5">
        <w:rPr>
          <w:rFonts w:ascii="Calibri" w:hAnsi="Calibri"/>
          <w:color w:val="auto"/>
          <w:sz w:val="22"/>
          <w:szCs w:val="22"/>
        </w:rPr>
        <w:t xml:space="preserve"> contrat</w:t>
      </w:r>
      <w:r w:rsidR="001B3AE5" w:rsidRPr="001B3AE5">
        <w:rPr>
          <w:rFonts w:ascii="Calibri" w:hAnsi="Calibri"/>
          <w:color w:val="auto"/>
          <w:sz w:val="22"/>
          <w:szCs w:val="22"/>
        </w:rPr>
        <w:t>ação</w:t>
      </w:r>
      <w:r w:rsidRPr="00A56293">
        <w:rPr>
          <w:rFonts w:ascii="Calibri" w:hAnsi="Calibri"/>
          <w:sz w:val="22"/>
          <w:szCs w:val="22"/>
        </w:rPr>
        <w:t>;</w:t>
      </w:r>
    </w:p>
    <w:p w:rsidR="00632677" w:rsidRPr="00A56293" w:rsidRDefault="00632677" w:rsidP="00632677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2677" w:rsidRDefault="00632677" w:rsidP="00632677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Ata;</w:t>
      </w:r>
    </w:p>
    <w:p w:rsidR="00632677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 na forma da Lei;</w:t>
      </w:r>
    </w:p>
    <w:p w:rsidR="00632677" w:rsidRPr="001778F4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1778F4">
        <w:rPr>
          <w:rFonts w:ascii="Calibri" w:hAnsi="Calibri"/>
          <w:color w:val="auto"/>
          <w:sz w:val="22"/>
          <w:szCs w:val="22"/>
        </w:rPr>
        <w:t>Emitir Nota de Empenho e/ou Ordem de Fornecimento;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Permitir o livre acesso dos empregados da empresa nas dependências da Contratante para entrega do objeto deste Termo de Referência, desde que uniformizados e identificados com crachá;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Contratada, por escrito, sobre imperfeições, falhas ou irregularidades verificadas no objeto fornecido, para que seja substituído, reparado ou corrigido, sem prejuízo das penalidades cabíveis;</w:t>
      </w:r>
    </w:p>
    <w:p w:rsidR="00632677" w:rsidRPr="00A56293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Acompanhar e fiscalizar a </w:t>
      </w:r>
      <w:r w:rsidRPr="001B3AE5">
        <w:rPr>
          <w:rFonts w:ascii="Calibri" w:hAnsi="Calibri"/>
          <w:color w:val="auto"/>
          <w:sz w:val="22"/>
          <w:szCs w:val="22"/>
        </w:rPr>
        <w:t>execução d</w:t>
      </w:r>
      <w:r w:rsidR="001B3AE5" w:rsidRPr="001B3AE5">
        <w:rPr>
          <w:rFonts w:ascii="Calibri" w:hAnsi="Calibri"/>
          <w:color w:val="auto"/>
          <w:sz w:val="22"/>
          <w:szCs w:val="22"/>
        </w:rPr>
        <w:t>a contratação</w:t>
      </w:r>
      <w:r w:rsidRPr="00A56293">
        <w:rPr>
          <w:rFonts w:ascii="Calibri" w:hAnsi="Calibri"/>
          <w:sz w:val="22"/>
          <w:szCs w:val="22"/>
        </w:rPr>
        <w:t>, por intermédio de representante especialmente designado;</w:t>
      </w:r>
    </w:p>
    <w:p w:rsidR="00632677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</w:t>
      </w:r>
      <w:r>
        <w:rPr>
          <w:rFonts w:ascii="Calibri" w:hAnsi="Calibri"/>
          <w:sz w:val="22"/>
          <w:szCs w:val="22"/>
        </w:rPr>
        <w:t>tidas neste Termo de Referência;</w:t>
      </w:r>
    </w:p>
    <w:p w:rsidR="00632677" w:rsidRPr="0058674C" w:rsidRDefault="00632677" w:rsidP="00632677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58674C">
        <w:rPr>
          <w:rFonts w:ascii="Calibri" w:hAnsi="Calibri"/>
          <w:sz w:val="22"/>
          <w:szCs w:val="22"/>
        </w:rPr>
        <w:t>Aplicar à Contratada as penalidades regulamentares contratuais.</w:t>
      </w:r>
    </w:p>
    <w:p w:rsidR="007F7F1A" w:rsidRPr="006A170E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6A170E" w:rsidRDefault="00C26C41" w:rsidP="00F04C77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6A170E">
        <w:rPr>
          <w:rFonts w:ascii="Calibri" w:hAnsi="Calibri"/>
          <w:b/>
          <w:kern w:val="32"/>
          <w:sz w:val="22"/>
          <w:szCs w:val="22"/>
        </w:rPr>
        <w:t>DO PAGAMENTO</w:t>
      </w:r>
    </w:p>
    <w:p w:rsidR="00C26C41" w:rsidRPr="006A170E" w:rsidRDefault="00C26C41" w:rsidP="00F04C77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</w:t>
      </w:r>
      <w:r w:rsidRPr="006A170E">
        <w:rPr>
          <w:rFonts w:ascii="Calibri" w:hAnsi="Calibri"/>
          <w:sz w:val="22"/>
          <w:szCs w:val="22"/>
        </w:rPr>
        <w:lastRenderedPageBreak/>
        <w:t xml:space="preserve">(trinta) dias, contados da apresentação de requerimento, nota fiscal, recibo e certidões necessárias, devidamente analisadas e atestadas pelo servidor designado pela Contratante. </w:t>
      </w:r>
    </w:p>
    <w:p w:rsidR="00C26C41" w:rsidRPr="006A170E" w:rsidRDefault="00C26C41" w:rsidP="00F04C77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Default="00C26C41" w:rsidP="00F04C77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A170E">
        <w:rPr>
          <w:rFonts w:ascii="Calibri" w:hAnsi="Calibri"/>
          <w:color w:val="000000" w:themeColor="text1"/>
          <w:sz w:val="22"/>
          <w:szCs w:val="22"/>
        </w:rPr>
        <w:t>Os pagamentos podem ser realizados</w:t>
      </w:r>
      <w:r w:rsidR="00D7507B" w:rsidRPr="006A170E">
        <w:rPr>
          <w:rFonts w:ascii="Calibri" w:hAnsi="Calibri"/>
          <w:color w:val="000000" w:themeColor="text1"/>
          <w:sz w:val="22"/>
          <w:szCs w:val="22"/>
        </w:rPr>
        <w:t xml:space="preserve"> com recursos próprios e/ou </w:t>
      </w:r>
      <w:r w:rsidRPr="006A170E">
        <w:rPr>
          <w:rFonts w:ascii="Calibri" w:hAnsi="Calibri"/>
          <w:color w:val="000000" w:themeColor="text1"/>
          <w:sz w:val="22"/>
          <w:szCs w:val="22"/>
        </w:rPr>
        <w:t>com recursos de convênios.</w:t>
      </w:r>
    </w:p>
    <w:p w:rsidR="00632677" w:rsidRPr="006A170E" w:rsidRDefault="00632677" w:rsidP="00632677">
      <w:pPr>
        <w:pStyle w:val="PargrafodaLista"/>
        <w:spacing w:after="60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</w:p>
    <w:p w:rsidR="00632677" w:rsidRPr="0067330A" w:rsidRDefault="00632677" w:rsidP="006326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color w:val="000000" w:themeColor="text1"/>
          <w:sz w:val="22"/>
          <w:szCs w:val="22"/>
        </w:rPr>
      </w:pPr>
      <w:r w:rsidRPr="0067330A">
        <w:rPr>
          <w:rFonts w:ascii="Calibri" w:hAnsi="Calibri"/>
          <w:b/>
          <w:color w:val="000000" w:themeColor="text1"/>
          <w:sz w:val="22"/>
          <w:szCs w:val="22"/>
        </w:rPr>
        <w:t>DA ATA DE REGISTRO DE PREÇOS</w:t>
      </w:r>
    </w:p>
    <w:p w:rsidR="00632677" w:rsidRPr="00753BE1" w:rsidRDefault="00632677" w:rsidP="006326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753BE1">
        <w:rPr>
          <w:rFonts w:ascii="Calibri" w:hAnsi="Calibri"/>
          <w:color w:val="000000" w:themeColor="text1"/>
          <w:sz w:val="22"/>
          <w:szCs w:val="22"/>
        </w:rPr>
        <w:t xml:space="preserve">O prazo de validade da ARP será de 12 (doze) meses, contados a partir da sua assinatura, tendo sua </w:t>
      </w:r>
      <w:r w:rsidRPr="00753BE1">
        <w:rPr>
          <w:rFonts w:ascii="Calibri" w:hAnsi="Calibri"/>
          <w:bCs/>
          <w:color w:val="000000" w:themeColor="text1"/>
          <w:sz w:val="22"/>
          <w:szCs w:val="22"/>
        </w:rPr>
        <w:t>eficácia</w:t>
      </w:r>
      <w:r w:rsidRPr="00753BE1">
        <w:rPr>
          <w:rFonts w:ascii="Calibri" w:hAnsi="Calibri"/>
          <w:color w:val="000000" w:themeColor="text1"/>
          <w:sz w:val="22"/>
          <w:szCs w:val="22"/>
        </w:rPr>
        <w:t xml:space="preserve"> a partir da data de publicação do seu extrato no Diário Oficial do Município. </w:t>
      </w:r>
    </w:p>
    <w:p w:rsidR="00632677" w:rsidRPr="00A46488" w:rsidRDefault="00632677" w:rsidP="006326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46488">
        <w:rPr>
          <w:rFonts w:ascii="Calibri" w:hAnsi="Calibr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632677" w:rsidRPr="00A46488" w:rsidRDefault="00632677" w:rsidP="006326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46488">
        <w:rPr>
          <w:rFonts w:ascii="Calibri" w:hAnsi="Calibri"/>
          <w:sz w:val="22"/>
          <w:szCs w:val="22"/>
        </w:rPr>
        <w:t>O remanejamento de que trata o item</w:t>
      </w:r>
      <w:r>
        <w:rPr>
          <w:rFonts w:ascii="Calibri" w:hAnsi="Calibri"/>
          <w:bCs/>
          <w:sz w:val="22"/>
          <w:szCs w:val="22"/>
        </w:rPr>
        <w:t xml:space="preserve"> 13</w:t>
      </w:r>
      <w:r w:rsidRPr="00A46488">
        <w:rPr>
          <w:rFonts w:ascii="Calibri" w:hAnsi="Calibri"/>
          <w:bCs/>
          <w:sz w:val="22"/>
          <w:szCs w:val="22"/>
        </w:rPr>
        <w:t xml:space="preserve">.2 </w:t>
      </w:r>
      <w:r w:rsidRPr="00A46488">
        <w:rPr>
          <w:rFonts w:ascii="Calibri" w:hAnsi="Calibri"/>
          <w:sz w:val="22"/>
          <w:szCs w:val="22"/>
        </w:rPr>
        <w:t>somente poderá ser feito de órgão participante para órgão participante e de órgão participante para órgão não participante.</w:t>
      </w:r>
    </w:p>
    <w:p w:rsidR="00632677" w:rsidRPr="00C26D01" w:rsidRDefault="00632677" w:rsidP="006326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AB344F">
        <w:rPr>
          <w:rFonts w:ascii="Calibri" w:hAnsi="Calibr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632677" w:rsidRPr="0067330A" w:rsidRDefault="00632677" w:rsidP="006326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 xml:space="preserve">A gestão da ARP caberá à </w:t>
      </w:r>
      <w:r w:rsidRPr="0067330A">
        <w:rPr>
          <w:rFonts w:asciiTheme="minorHAnsi" w:hAnsiTheme="minorHAnsi"/>
          <w:color w:val="000000" w:themeColor="text1"/>
          <w:sz w:val="22"/>
          <w:szCs w:val="22"/>
        </w:rPr>
        <w:t>Agência Municipal de Regulação de Serviços Delegados – ARSER</w:t>
      </w:r>
      <w:r w:rsidRPr="0067330A">
        <w:rPr>
          <w:rFonts w:ascii="Calibri" w:hAnsi="Calibri"/>
          <w:color w:val="000000" w:themeColor="text1"/>
          <w:sz w:val="22"/>
          <w:szCs w:val="22"/>
        </w:rPr>
        <w:t>, situada na Rua Pedro Monteiro, 47 - CEP: 57020-380, Telefone (82) 3315-7336/7327/7323.</w:t>
      </w:r>
    </w:p>
    <w:p w:rsidR="00632677" w:rsidRDefault="00632677" w:rsidP="006326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67330A">
        <w:rPr>
          <w:rFonts w:ascii="Calibri" w:hAnsi="Calibri"/>
          <w:color w:val="000000" w:themeColor="text1"/>
          <w:sz w:val="22"/>
          <w:szCs w:val="22"/>
        </w:rPr>
        <w:t xml:space="preserve">Compete ao Órgão Gerenciador e aos Participantes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67330A">
        <w:rPr>
          <w:rFonts w:ascii="Calibri" w:hAnsi="Calibri"/>
          <w:bCs/>
          <w:color w:val="000000" w:themeColor="text1"/>
          <w:sz w:val="22"/>
          <w:szCs w:val="22"/>
        </w:rPr>
        <w:t>contratuais</w:t>
      </w:r>
      <w:r w:rsidRPr="0067330A">
        <w:rPr>
          <w:rFonts w:ascii="Calibri" w:hAnsi="Calibri"/>
          <w:color w:val="000000" w:themeColor="text1"/>
          <w:sz w:val="22"/>
          <w:szCs w:val="22"/>
        </w:rPr>
        <w:t>, em relação às suas próprias contratações, informando as ocorrências ao órgão gerenciador, para registro no SICAF.</w:t>
      </w:r>
    </w:p>
    <w:p w:rsidR="00632677" w:rsidRDefault="00632677" w:rsidP="00632677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B928B1">
        <w:rPr>
          <w:rFonts w:ascii="Calibri" w:hAnsi="Calibri"/>
          <w:bCs/>
          <w:color w:val="000000" w:themeColor="text1"/>
          <w:sz w:val="22"/>
          <w:szCs w:val="22"/>
        </w:rPr>
        <w:t>Caberá</w:t>
      </w:r>
      <w:r w:rsidRPr="00B928B1">
        <w:rPr>
          <w:rFonts w:ascii="Calibri" w:hAnsi="Calibri"/>
          <w:color w:val="000000" w:themeColor="text1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Pr="006A170E" w:rsidRDefault="00C26C41" w:rsidP="00F04C77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color w:val="000000" w:themeColor="text1"/>
          <w:sz w:val="22"/>
          <w:szCs w:val="22"/>
        </w:rPr>
      </w:pPr>
      <w:r w:rsidRPr="006A170E">
        <w:rPr>
          <w:rFonts w:ascii="Calibri" w:hAnsi="Calibri"/>
          <w:b/>
          <w:color w:val="000000" w:themeColor="text1"/>
          <w:kern w:val="32"/>
          <w:sz w:val="22"/>
          <w:szCs w:val="22"/>
        </w:rPr>
        <w:t>DA CONTRATAÇÃO</w:t>
      </w:r>
    </w:p>
    <w:p w:rsidR="00CD14DD" w:rsidRPr="004B52F1" w:rsidRDefault="00CD14DD" w:rsidP="00CD14D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 xml:space="preserve">O termo de contrato </w:t>
      </w:r>
      <w:r>
        <w:rPr>
          <w:rFonts w:ascii="Calibri" w:hAnsi="Calibri"/>
          <w:sz w:val="22"/>
          <w:szCs w:val="22"/>
        </w:rPr>
        <w:t>será</w:t>
      </w:r>
      <w:r w:rsidRPr="00524260">
        <w:rPr>
          <w:rFonts w:ascii="Calibri" w:hAnsi="Calibri"/>
          <w:sz w:val="22"/>
          <w:szCs w:val="22"/>
        </w:rPr>
        <w:t xml:space="preserve"> substituído por Nota de Empenho e/ou por Ordem de Fornecimento.</w:t>
      </w:r>
    </w:p>
    <w:p w:rsidR="00CD14DD" w:rsidRDefault="00CD14DD" w:rsidP="00CD14D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</w:t>
      </w:r>
      <w:r w:rsidRPr="00BD53A8">
        <w:rPr>
          <w:rFonts w:ascii="Calibri" w:hAnsi="Calibri" w:cs="Tahoma"/>
          <w:sz w:val="22"/>
          <w:szCs w:val="22"/>
        </w:rPr>
        <w:t>aceitar ou retirar a nota de empenho</w:t>
      </w:r>
      <w:r>
        <w:rPr>
          <w:rFonts w:ascii="Calibri" w:hAnsi="Calibri"/>
          <w:bCs/>
          <w:sz w:val="22"/>
          <w:szCs w:val="22"/>
        </w:rPr>
        <w:t xml:space="preserve"> 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CD14DD" w:rsidRPr="005C7A26" w:rsidRDefault="00CD14DD" w:rsidP="00CD14D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Decorridos os prazos acima citados e, não tendo a licitante vencedora comparecido ao chamamento, perderá o direito a contratação independentemente de sujeitar-se às penalidades do art. 7º da Lei Federal nº. 10.520/2002 e autorizará a Contratante a examinar as ofertas </w:t>
      </w:r>
      <w:proofErr w:type="spellStart"/>
      <w:r>
        <w:rPr>
          <w:rFonts w:ascii="Calibri" w:hAnsi="Calibri"/>
          <w:bCs/>
          <w:sz w:val="22"/>
          <w:szCs w:val="22"/>
        </w:rPr>
        <w:t>subseqüentes</w:t>
      </w:r>
      <w:proofErr w:type="spellEnd"/>
      <w:r>
        <w:rPr>
          <w:rFonts w:ascii="Calibri" w:hAnsi="Calibri"/>
          <w:bCs/>
          <w:sz w:val="22"/>
          <w:szCs w:val="22"/>
        </w:rPr>
        <w:t xml:space="preserve"> e a qualificação das licitantes, na ordem de classificação, e assim sucessivamente, até a apuração de uma que atenda ao edital, sendo </w:t>
      </w:r>
      <w:proofErr w:type="spellStart"/>
      <w:r>
        <w:rPr>
          <w:rFonts w:ascii="Calibri" w:hAnsi="Calibri"/>
          <w:bCs/>
          <w:sz w:val="22"/>
          <w:szCs w:val="22"/>
        </w:rPr>
        <w:t>esta</w:t>
      </w:r>
      <w:proofErr w:type="spellEnd"/>
      <w:r>
        <w:rPr>
          <w:rFonts w:ascii="Calibri" w:hAnsi="Calibri"/>
          <w:bCs/>
          <w:sz w:val="22"/>
          <w:szCs w:val="22"/>
        </w:rPr>
        <w:t xml:space="preserve"> declarada vencedora.</w:t>
      </w:r>
    </w:p>
    <w:p w:rsidR="00632677" w:rsidRDefault="00632677" w:rsidP="00632677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DA FISCALIZAÇÃO </w:t>
      </w:r>
      <w:r w:rsidRPr="001B3AE5">
        <w:rPr>
          <w:rFonts w:ascii="Calibri" w:hAnsi="Calibri"/>
          <w:b/>
          <w:color w:val="000000" w:themeColor="text1"/>
          <w:sz w:val="22"/>
          <w:szCs w:val="22"/>
        </w:rPr>
        <w:t>D</w:t>
      </w:r>
      <w:r w:rsidR="001B3AE5" w:rsidRPr="001B3AE5">
        <w:rPr>
          <w:rFonts w:ascii="Calibri" w:hAnsi="Calibri"/>
          <w:b/>
          <w:color w:val="000000" w:themeColor="text1"/>
          <w:sz w:val="22"/>
          <w:szCs w:val="22"/>
        </w:rPr>
        <w:t>A CONTRATAÇÃO</w:t>
      </w:r>
    </w:p>
    <w:p w:rsidR="00632677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632677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fiscal da contratação terá, entre outras, as seguintes atribuições: 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Expedir ordens de fornecimento; 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Proceder ao acompanhamento técnico da execução dos serviços;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Fiscalizar a execução do Contrato quanto à qualidade desejada; 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Comunicar à Contratada o descumprimento do contrato e indicar os procedimentos necessários ao seu correto cumprimento; 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Solicitar à Administração a aplicação de penalidades por descumprimento de cláusula contratual; 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Fornecer atestados de capacidade técnica quando solicitado, desde que atendidas às obrigações contratuais; 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Atestar as notas fiscais relativas a execução dos serviços para efeito de pagamentos; 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Recusar o objeto que for entregue fora das especificações contidas no Contrato ou que forem executados em quantidades divergentes daquelas constantes na ordem de serviços;</w:t>
      </w:r>
    </w:p>
    <w:p w:rsidR="00632677" w:rsidRDefault="00632677" w:rsidP="00632677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Solicitar à Contratada e a seu preposto todas as providências necessárias ao bom e fiel cumprimento das obrigações.</w:t>
      </w:r>
    </w:p>
    <w:p w:rsidR="00632677" w:rsidRDefault="00632677" w:rsidP="00632677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632677" w:rsidRDefault="00632677" w:rsidP="00632677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632677" w:rsidRPr="007D2505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AD6D77">
        <w:rPr>
          <w:rFonts w:ascii="Calibri" w:hAnsi="Calibri"/>
          <w:bCs/>
          <w:sz w:val="22"/>
          <w:szCs w:val="22"/>
        </w:rPr>
        <w:t xml:space="preserve">Fica </w:t>
      </w:r>
      <w:r w:rsidRPr="00AD6D77">
        <w:rPr>
          <w:rFonts w:ascii="Calibri" w:hAnsi="Calibri"/>
          <w:sz w:val="22"/>
          <w:szCs w:val="22"/>
        </w:rPr>
        <w:t>proibido</w:t>
      </w:r>
      <w:r w:rsidRPr="00AD6D77">
        <w:rPr>
          <w:rFonts w:ascii="Calibri" w:hAnsi="Calibri"/>
          <w:bCs/>
          <w:sz w:val="22"/>
          <w:szCs w:val="22"/>
        </w:rPr>
        <w:t xml:space="preserve"> o reajuste do valor durante a vigência d</w:t>
      </w:r>
      <w:r w:rsidR="00114858">
        <w:rPr>
          <w:rFonts w:ascii="Calibri" w:hAnsi="Calibri"/>
          <w:bCs/>
          <w:sz w:val="22"/>
          <w:szCs w:val="22"/>
        </w:rPr>
        <w:t>a</w:t>
      </w:r>
      <w:r w:rsidRPr="00AD6D77">
        <w:rPr>
          <w:rFonts w:ascii="Calibri" w:hAnsi="Calibri"/>
          <w:bCs/>
          <w:sz w:val="22"/>
          <w:szCs w:val="22"/>
        </w:rPr>
        <w:t xml:space="preserve"> ata</w:t>
      </w:r>
      <w:r>
        <w:rPr>
          <w:rFonts w:ascii="Calibri" w:hAnsi="Calibri"/>
          <w:bCs/>
          <w:sz w:val="22"/>
          <w:szCs w:val="22"/>
        </w:rPr>
        <w:t>;</w:t>
      </w:r>
    </w:p>
    <w:p w:rsidR="00632677" w:rsidRPr="007D2505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7D2505">
        <w:rPr>
          <w:rFonts w:ascii="Calibri" w:hAnsi="Calibr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632677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3F6B5A">
        <w:rPr>
          <w:rFonts w:ascii="Calibri" w:hAnsi="Calibri"/>
          <w:sz w:val="22"/>
          <w:szCs w:val="22"/>
        </w:rPr>
        <w:t xml:space="preserve">Pode ocorrer a revisão do contrato ou ata, tencionando o reequilíbrio econômico financeiro, desde que haja incidência de fato imprevisível e devidamente justificado, conforme art. 37, XXI, DA CF/88, </w:t>
      </w:r>
      <w:proofErr w:type="spellStart"/>
      <w:r w:rsidRPr="003F6B5A">
        <w:rPr>
          <w:rFonts w:ascii="Calibri" w:hAnsi="Calibri"/>
          <w:sz w:val="22"/>
          <w:szCs w:val="22"/>
        </w:rPr>
        <w:t>arts</w:t>
      </w:r>
      <w:proofErr w:type="spellEnd"/>
      <w:r w:rsidRPr="003F6B5A">
        <w:rPr>
          <w:rFonts w:ascii="Calibri" w:hAnsi="Calibri"/>
          <w:sz w:val="22"/>
          <w:szCs w:val="22"/>
        </w:rPr>
        <w:t xml:space="preserve">. 57,§§ 1º e 2º, 65, II, “d” e § 6º, todos da Lei n.8666/93 e </w:t>
      </w:r>
      <w:proofErr w:type="spellStart"/>
      <w:r w:rsidRPr="003F6B5A">
        <w:rPr>
          <w:rFonts w:ascii="Calibri" w:hAnsi="Calibri"/>
          <w:sz w:val="22"/>
          <w:szCs w:val="22"/>
        </w:rPr>
        <w:t>arts</w:t>
      </w:r>
      <w:proofErr w:type="spellEnd"/>
      <w:r w:rsidRPr="003F6B5A">
        <w:rPr>
          <w:rFonts w:ascii="Calibri" w:hAnsi="Calibri"/>
          <w:sz w:val="22"/>
          <w:szCs w:val="22"/>
        </w:rPr>
        <w:t>. 17/19 do Decreto Municipal nº 7.496/2013.</w:t>
      </w:r>
    </w:p>
    <w:p w:rsidR="00632677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3F6B5A">
        <w:rPr>
          <w:rFonts w:ascii="Calibri" w:hAnsi="Calibri"/>
          <w:sz w:val="22"/>
          <w:szCs w:val="22"/>
        </w:rPr>
        <w:t>A revisão deverá incidir a partir da data em que for protocolado, com fundamento no item anterior, o pedido da contratada</w:t>
      </w:r>
      <w:r>
        <w:rPr>
          <w:rFonts w:ascii="Calibri" w:hAnsi="Calibri"/>
          <w:sz w:val="22"/>
          <w:szCs w:val="22"/>
        </w:rPr>
        <w:t>.</w:t>
      </w:r>
    </w:p>
    <w:p w:rsidR="00632677" w:rsidRDefault="00632677" w:rsidP="00632677">
      <w:pPr>
        <w:pStyle w:val="PargrafodaLista"/>
        <w:numPr>
          <w:ilvl w:val="0"/>
          <w:numId w:val="4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Contratada sujeita às sanções indicadas abaixo, sem prejuízo de outras previstas na legislação vigente: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Contratada quaisquer das sanções listadas no item </w:t>
      </w:r>
      <w:r>
        <w:rPr>
          <w:rFonts w:asciiTheme="minorHAnsi" w:eastAsia="Calibri" w:hAnsiTheme="minorHAnsi" w:cstheme="minorHAnsi"/>
          <w:sz w:val="22"/>
          <w:szCs w:val="22"/>
        </w:rPr>
        <w:t>18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critério </w:t>
      </w:r>
      <w:r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As multas previstas, caso sejam aplicadas, serão descontadas por ocasião de pagamentos futuros ou serão pagas por meio de Documento de Arrecadação Municipal (DAM) pela futura Contratada no prazo que o despacho de sua aplicação determinar.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>As sanções fixadas serão aplicadas nos autos do processo de gestão do Contrato, no qual será assegurado à futura Contratada o contraditório e a ampla defesa.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Decorridos 30 (trinta) dias de atraso injustificado na entrega dos produtos, a Nota de Empenho ou Contrato deverá ser cancelada ou rescindido, exceto se houver justificado interesse público em manter a avença, hipótese em que será aplicada multa.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632677" w:rsidRPr="004E53E8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Por até 30 (trinta) dias, quando, vencido o prazo da Advertência, a Contratada permanecer inadimplente;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>, quando a Contratada falhar ou fraudar na execução do Contrato, comportar-se de modo inidôneo, fizer declaração falsa ou cometer fraude fiscal; e</w:t>
      </w:r>
    </w:p>
    <w:p w:rsidR="00632677" w:rsidRPr="00A56293" w:rsidRDefault="00632677" w:rsidP="00632677">
      <w:pPr>
        <w:pStyle w:val="PargrafodaLista"/>
        <w:numPr>
          <w:ilvl w:val="2"/>
          <w:numId w:val="4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>, quando a Contratada:</w:t>
      </w:r>
    </w:p>
    <w:p w:rsidR="00632677" w:rsidRPr="004E53E8" w:rsidRDefault="00632677" w:rsidP="00632677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c.1) </w:t>
      </w:r>
      <w:r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632677" w:rsidRPr="004E53E8" w:rsidRDefault="00632677" w:rsidP="00632677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c.2) </w:t>
      </w:r>
      <w:r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>
        <w:rPr>
          <w:rFonts w:asciiTheme="minorHAnsi" w:hAnsiTheme="minorHAnsi" w:cstheme="minorHAnsi"/>
          <w:sz w:val="22"/>
          <w:szCs w:val="22"/>
        </w:rPr>
        <w:t>1</w:t>
      </w:r>
      <w:r w:rsidR="00E827F3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.8, alínea “c”,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>poderá ser aumentado em até 5 (cinco) anos.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632677" w:rsidRPr="004E53E8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será aplicada à vista dos motivos informados na instrução processual, podendo a reabilitação ser requerida após 2 (dois) anos de sua aplicação.</w:t>
      </w:r>
    </w:p>
    <w:p w:rsidR="00632677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632677" w:rsidRPr="0067330A" w:rsidRDefault="00632677" w:rsidP="00632677">
      <w:pPr>
        <w:pStyle w:val="PargrafodaLista"/>
        <w:numPr>
          <w:ilvl w:val="1"/>
          <w:numId w:val="4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r w:rsidRPr="0067330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67330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67330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C26C41" w:rsidRPr="006A170E" w:rsidRDefault="00C26C41" w:rsidP="00F04C77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Pr="006A170E" w:rsidRDefault="00C26C41" w:rsidP="00F04C77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6A170E" w:rsidRDefault="00C26C41" w:rsidP="00F04C77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 w:rsidRPr="006A170E">
        <w:rPr>
          <w:rFonts w:asciiTheme="minorHAnsi" w:hAnsiTheme="minorHAnsi"/>
          <w:sz w:val="22"/>
          <w:szCs w:val="22"/>
        </w:rPr>
        <w:t>Agência Municipal de Regulação de Serviços Delegados - ARSER</w:t>
      </w:r>
      <w:r w:rsidR="008A756F" w:rsidRPr="006A170E">
        <w:rPr>
          <w:rFonts w:ascii="Calibri" w:hAnsi="Calibri"/>
          <w:sz w:val="22"/>
          <w:szCs w:val="22"/>
        </w:rPr>
        <w:t xml:space="preserve">, através do </w:t>
      </w:r>
      <w:proofErr w:type="spellStart"/>
      <w:r w:rsidR="008A756F" w:rsidRPr="006A170E">
        <w:rPr>
          <w:rFonts w:ascii="Calibri" w:hAnsi="Calibri"/>
          <w:sz w:val="22"/>
          <w:szCs w:val="22"/>
        </w:rPr>
        <w:t>email</w:t>
      </w:r>
      <w:proofErr w:type="spellEnd"/>
      <w:r w:rsidR="008A756F" w:rsidRPr="006A170E">
        <w:rPr>
          <w:rFonts w:ascii="Calibri" w:hAnsi="Calibri"/>
          <w:sz w:val="22"/>
          <w:szCs w:val="22"/>
        </w:rPr>
        <w:t>: gerencia.planejamento@arser</w:t>
      </w:r>
      <w:r w:rsidRPr="006A170E">
        <w:rPr>
          <w:rFonts w:ascii="Calibri" w:hAnsi="Calibri"/>
          <w:sz w:val="22"/>
          <w:szCs w:val="22"/>
        </w:rPr>
        <w:t xml:space="preserve">.maceio.al.gov.br, telefone para contato (82) </w:t>
      </w:r>
      <w:r w:rsidR="00E827F3">
        <w:rPr>
          <w:rFonts w:ascii="Calibri" w:hAnsi="Calibri"/>
          <w:sz w:val="22"/>
          <w:szCs w:val="22"/>
        </w:rPr>
        <w:t>3312-5100</w:t>
      </w:r>
      <w:r w:rsidR="0072637D">
        <w:rPr>
          <w:rFonts w:ascii="Calibri" w:hAnsi="Calibri"/>
          <w:sz w:val="22"/>
          <w:szCs w:val="22"/>
        </w:rPr>
        <w:t>.</w:t>
      </w:r>
    </w:p>
    <w:p w:rsidR="00C26C41" w:rsidRPr="006A170E" w:rsidRDefault="00C26C41" w:rsidP="00F81C76">
      <w:pPr>
        <w:tabs>
          <w:tab w:val="left" w:pos="284"/>
        </w:tabs>
        <w:rPr>
          <w:rFonts w:ascii="Calibri" w:hAnsi="Calibri"/>
          <w:sz w:val="22"/>
          <w:szCs w:val="22"/>
        </w:rPr>
      </w:pPr>
    </w:p>
    <w:p w:rsidR="00C26C41" w:rsidRPr="006A170E" w:rsidRDefault="00EA05B2" w:rsidP="00E827F3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6A170E">
        <w:rPr>
          <w:rFonts w:ascii="Calibri" w:hAnsi="Calibri"/>
          <w:sz w:val="22"/>
          <w:szCs w:val="22"/>
        </w:rPr>
        <w:t>Maceió,</w:t>
      </w:r>
      <w:r w:rsidR="00D545D5" w:rsidRPr="006A170E">
        <w:rPr>
          <w:rFonts w:ascii="Calibri" w:hAnsi="Calibri"/>
          <w:sz w:val="22"/>
          <w:szCs w:val="22"/>
        </w:rPr>
        <w:t xml:space="preserve"> </w:t>
      </w:r>
      <w:r w:rsidR="00E827F3">
        <w:rPr>
          <w:rFonts w:ascii="Calibri" w:hAnsi="Calibri"/>
          <w:sz w:val="22"/>
          <w:szCs w:val="22"/>
        </w:rPr>
        <w:t>24 de janeiro de 2020</w:t>
      </w:r>
      <w:r w:rsidR="00827889" w:rsidRPr="006A170E">
        <w:rPr>
          <w:rFonts w:asciiTheme="minorHAnsi" w:hAnsiTheme="minorHAnsi"/>
          <w:sz w:val="22"/>
          <w:szCs w:val="22"/>
        </w:rPr>
        <w:tab/>
      </w:r>
    </w:p>
    <w:p w:rsidR="005575DE" w:rsidRDefault="005575DE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</w:p>
    <w:p w:rsidR="00632677" w:rsidRPr="006A170E" w:rsidRDefault="00632677" w:rsidP="00827889">
      <w:pPr>
        <w:tabs>
          <w:tab w:val="left" w:pos="3375"/>
        </w:tabs>
        <w:rPr>
          <w:rFonts w:asciiTheme="minorHAnsi" w:hAnsiTheme="minorHAnsi"/>
          <w:sz w:val="22"/>
          <w:szCs w:val="22"/>
        </w:rPr>
      </w:pPr>
    </w:p>
    <w:p w:rsidR="00827889" w:rsidRDefault="00632677" w:rsidP="0082788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Diego Passos Lima </w:t>
      </w:r>
    </w:p>
    <w:p w:rsidR="00632677" w:rsidRPr="006A170E" w:rsidRDefault="00632677" w:rsidP="00827889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Gerencia de Planejamento e Contratações</w:t>
      </w:r>
    </w:p>
    <w:p w:rsidR="00D4492C" w:rsidRPr="006A170E" w:rsidRDefault="00D4492C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E827F3" w:rsidRDefault="00E827F3" w:rsidP="00CC07D8">
      <w:pPr>
        <w:jc w:val="center"/>
        <w:rPr>
          <w:rFonts w:ascii="Calibri" w:hAnsi="Calibri"/>
          <w:b/>
          <w:sz w:val="22"/>
          <w:szCs w:val="22"/>
        </w:rPr>
      </w:pPr>
    </w:p>
    <w:p w:rsidR="00AC2CAE" w:rsidRPr="006A170E" w:rsidRDefault="00C26C41" w:rsidP="00CC07D8">
      <w:pPr>
        <w:jc w:val="center"/>
        <w:rPr>
          <w:rFonts w:ascii="Calibri" w:hAnsi="Calibri"/>
          <w:b/>
          <w:sz w:val="22"/>
          <w:szCs w:val="22"/>
        </w:rPr>
      </w:pPr>
      <w:r w:rsidRPr="006A170E">
        <w:rPr>
          <w:rFonts w:ascii="Calibri" w:hAnsi="Calibri"/>
          <w:b/>
          <w:sz w:val="22"/>
          <w:szCs w:val="22"/>
        </w:rPr>
        <w:t>ANEXO I</w:t>
      </w:r>
      <w:r w:rsidR="006A051F">
        <w:rPr>
          <w:rFonts w:ascii="Calibri" w:hAnsi="Calibri"/>
          <w:b/>
          <w:sz w:val="22"/>
          <w:szCs w:val="22"/>
        </w:rPr>
        <w:t xml:space="preserve">- </w:t>
      </w:r>
      <w:r w:rsidR="00AC2CAE" w:rsidRPr="006A170E">
        <w:rPr>
          <w:rFonts w:asciiTheme="minorHAnsi" w:hAnsiTheme="minorHAnsi"/>
          <w:b/>
          <w:sz w:val="22"/>
          <w:szCs w:val="22"/>
        </w:rPr>
        <w:t>QUADRO DE ESTIMATIVA GERAL</w:t>
      </w:r>
    </w:p>
    <w:p w:rsidR="00C26C41" w:rsidRDefault="00C26C41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  <w:r w:rsidRPr="006A170E">
        <w:rPr>
          <w:rFonts w:ascii="Calibri" w:hAnsi="Calibri" w:cs="Arial"/>
          <w:b/>
          <w:sz w:val="22"/>
          <w:szCs w:val="22"/>
        </w:rPr>
        <w:t>1 - DO OBJETO</w:t>
      </w:r>
      <w:r w:rsidR="009F7CE5">
        <w:rPr>
          <w:rFonts w:ascii="Calibri" w:hAnsi="Calibri" w:cs="Arial"/>
          <w:b/>
          <w:sz w:val="22"/>
          <w:szCs w:val="22"/>
        </w:rPr>
        <w:t xml:space="preserve">: </w:t>
      </w:r>
      <w:r w:rsidR="00367643" w:rsidRPr="006A170E">
        <w:rPr>
          <w:rFonts w:ascii="Calibri" w:hAnsi="Calibri" w:cs="Arial"/>
          <w:sz w:val="22"/>
          <w:szCs w:val="22"/>
        </w:rPr>
        <w:t xml:space="preserve">Registro de Preços para futura e eventual contratação de empresa especializada no fornecimento de Pneus Novos, Primeiro uso, primeira linha, nacionais ou importados, câmara de ar e protetores de pneus para os veículos da frota do Município para atendimento aos diversos Órgãos e Entidades da Administração Pública do Município de Maceió, </w:t>
      </w:r>
      <w:r w:rsidR="00685DB8" w:rsidRPr="006A170E">
        <w:rPr>
          <w:rFonts w:ascii="Calibri" w:hAnsi="Calibri" w:cs="Arial"/>
          <w:sz w:val="22"/>
          <w:szCs w:val="22"/>
        </w:rPr>
        <w:t xml:space="preserve">nas especificações e quantidades constantes </w:t>
      </w:r>
      <w:r w:rsidR="00746689" w:rsidRPr="006A170E">
        <w:rPr>
          <w:rFonts w:ascii="Calibri" w:hAnsi="Calibri" w:cs="Arial"/>
          <w:sz w:val="22"/>
          <w:szCs w:val="22"/>
        </w:rPr>
        <w:t>abaixo:</w:t>
      </w:r>
    </w:p>
    <w:p w:rsidR="00FC3E7A" w:rsidRDefault="00FC3E7A" w:rsidP="00C26C41">
      <w:pPr>
        <w:spacing w:before="120"/>
        <w:jc w:val="both"/>
        <w:rPr>
          <w:rFonts w:ascii="Calibri" w:hAnsi="Calibri" w:cs="Arial"/>
          <w:sz w:val="22"/>
          <w:szCs w:val="22"/>
        </w:rPr>
      </w:pPr>
    </w:p>
    <w:tbl>
      <w:tblPr>
        <w:tblStyle w:val="Tabelacomgrade"/>
        <w:tblW w:w="4851" w:type="pct"/>
        <w:jc w:val="center"/>
        <w:tblLook w:val="04A0" w:firstRow="1" w:lastRow="0" w:firstColumn="1" w:lastColumn="0" w:noHBand="0" w:noVBand="1"/>
      </w:tblPr>
      <w:tblGrid>
        <w:gridCol w:w="603"/>
        <w:gridCol w:w="5398"/>
        <w:gridCol w:w="948"/>
        <w:gridCol w:w="918"/>
        <w:gridCol w:w="1200"/>
      </w:tblGrid>
      <w:tr w:rsidR="00602270" w:rsidRPr="006A170E" w:rsidTr="00E827F3">
        <w:trPr>
          <w:trHeight w:val="72"/>
          <w:jc w:val="center"/>
        </w:trPr>
        <w:tc>
          <w:tcPr>
            <w:tcW w:w="333" w:type="pct"/>
            <w:shd w:val="clear" w:color="auto" w:fill="BFBFBF" w:themeFill="background1" w:themeFillShade="BF"/>
            <w:vAlign w:val="center"/>
            <w:hideMark/>
          </w:tcPr>
          <w:p w:rsidR="00602270" w:rsidRPr="006A170E" w:rsidRDefault="00602270" w:rsidP="006402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3026" w:type="pct"/>
            <w:shd w:val="clear" w:color="auto" w:fill="BFBFBF" w:themeFill="background1" w:themeFillShade="BF"/>
            <w:vAlign w:val="center"/>
            <w:hideMark/>
          </w:tcPr>
          <w:p w:rsidR="00602270" w:rsidRPr="006A170E" w:rsidRDefault="00602270" w:rsidP="0028061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Descrição do produto</w:t>
            </w:r>
          </w:p>
        </w:tc>
        <w:tc>
          <w:tcPr>
            <w:tcW w:w="547" w:type="pct"/>
            <w:shd w:val="clear" w:color="auto" w:fill="BFBFBF" w:themeFill="background1" w:themeFillShade="BF"/>
          </w:tcPr>
          <w:p w:rsidR="00602270" w:rsidRDefault="00602270" w:rsidP="006402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</w:t>
            </w:r>
          </w:p>
        </w:tc>
        <w:tc>
          <w:tcPr>
            <w:tcW w:w="432" w:type="pct"/>
            <w:shd w:val="clear" w:color="auto" w:fill="BFBFBF" w:themeFill="background1" w:themeFillShade="BF"/>
            <w:vAlign w:val="center"/>
          </w:tcPr>
          <w:p w:rsidR="00602270" w:rsidRPr="006A170E" w:rsidRDefault="00602270" w:rsidP="006402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Unidade</w:t>
            </w:r>
          </w:p>
        </w:tc>
        <w:tc>
          <w:tcPr>
            <w:tcW w:w="662" w:type="pct"/>
            <w:shd w:val="clear" w:color="auto" w:fill="BFBFBF" w:themeFill="background1" w:themeFillShade="BF"/>
          </w:tcPr>
          <w:p w:rsidR="00602270" w:rsidRPr="006A170E" w:rsidRDefault="00602270" w:rsidP="0064029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Quantidade</w:t>
            </w: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26" w:type="pct"/>
            <w:vAlign w:val="center"/>
          </w:tcPr>
          <w:p w:rsidR="00602270" w:rsidRDefault="009B7E78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="00602270" w:rsidRPr="006A170E">
              <w:rPr>
                <w:rFonts w:ascii="Calibri" w:hAnsi="Calibri" w:cs="Calibri"/>
                <w:sz w:val="20"/>
                <w:szCs w:val="20"/>
              </w:rPr>
              <w:t xml:space="preserve"> 165/70R13</w:t>
            </w:r>
            <w:r w:rsidR="0060227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radial</w:t>
            </w:r>
            <w:r w:rsidR="00602270"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shd w:val="clear" w:color="auto" w:fill="FFFFFF"/>
                </w:rPr>
                <w:t>246795</w:t>
              </w:r>
            </w:hyperlink>
          </w:p>
        </w:tc>
        <w:tc>
          <w:tcPr>
            <w:tcW w:w="547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13</w:t>
            </w:r>
          </w:p>
        </w:tc>
        <w:tc>
          <w:tcPr>
            <w:tcW w:w="432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  <w:bookmarkStart w:id="2" w:name="_GoBack"/>
            <w:bookmarkEnd w:id="2"/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175/70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13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9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13</w:t>
            </w:r>
          </w:p>
        </w:tc>
        <w:tc>
          <w:tcPr>
            <w:tcW w:w="432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6" w:type="pct"/>
            <w:vAlign w:val="center"/>
          </w:tcPr>
          <w:p w:rsidR="00602270" w:rsidRDefault="009B7E78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="00602270" w:rsidRPr="006A170E">
              <w:rPr>
                <w:rFonts w:ascii="Calibri" w:hAnsi="Calibri" w:cs="Calibri"/>
                <w:sz w:val="20"/>
                <w:szCs w:val="20"/>
              </w:rPr>
              <w:t xml:space="preserve"> 165/70R14</w:t>
            </w:r>
            <w:r w:rsidR="00602270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radial</w:t>
            </w:r>
            <w:r w:rsidR="00602270"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0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432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26" w:type="pct"/>
            <w:vAlign w:val="center"/>
          </w:tcPr>
          <w:p w:rsidR="00602270" w:rsidRDefault="009B7E78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="00602270">
              <w:rPr>
                <w:rFonts w:ascii="Calibri" w:hAnsi="Calibri" w:cs="Calibri"/>
                <w:sz w:val="20"/>
                <w:szCs w:val="20"/>
              </w:rPr>
              <w:t xml:space="preserve"> 175/65R14, </w:t>
            </w:r>
            <w:r>
              <w:rPr>
                <w:rFonts w:ascii="Calibri" w:hAnsi="Calibri" w:cs="Calibri"/>
                <w:sz w:val="20"/>
                <w:szCs w:val="20"/>
              </w:rPr>
              <w:t>radial</w:t>
            </w:r>
            <w:r w:rsidR="00602270"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1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432" w:type="pct"/>
          </w:tcPr>
          <w:p w:rsidR="00602270" w:rsidRPr="006A170E" w:rsidRDefault="00602270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175/70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14</w:t>
            </w:r>
            <w:r w:rsidR="009B7E78"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B7E78">
              <w:rPr>
                <w:rFonts w:ascii="Calibri" w:hAnsi="Calibri" w:cs="Calibri"/>
                <w:sz w:val="20"/>
                <w:szCs w:val="20"/>
              </w:rPr>
              <w:t>radial</w:t>
            </w:r>
            <w:r>
              <w:rPr>
                <w:rFonts w:ascii="Calibri" w:hAnsi="Calibri" w:cs="Calibri"/>
                <w:sz w:val="20"/>
                <w:szCs w:val="20"/>
              </w:rPr>
              <w:t>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2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Pr="006A170E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14</w:t>
            </w:r>
          </w:p>
        </w:tc>
        <w:tc>
          <w:tcPr>
            <w:tcW w:w="432" w:type="pct"/>
          </w:tcPr>
          <w:p w:rsidR="00602270" w:rsidRPr="006A170E" w:rsidRDefault="00602270" w:rsidP="00602270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B7E78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185/60R15,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3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32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185/65R15,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4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32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195/65R15, </w:t>
            </w:r>
            <w:r>
              <w:rPr>
                <w:rFonts w:ascii="Calibri" w:hAnsi="Calibri" w:cs="Calibri"/>
                <w:sz w:val="20"/>
                <w:szCs w:val="20"/>
              </w:rPr>
              <w:t>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5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32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205/70R15,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6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Aro 15</w:t>
            </w:r>
          </w:p>
        </w:tc>
        <w:tc>
          <w:tcPr>
            <w:tcW w:w="432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225/70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7" w:history="1">
              <w:r w:rsidR="005C0D86" w:rsidRPr="006F30B3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Pr="00D541FC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32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60227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3026" w:type="pct"/>
            <w:vAlign w:val="center"/>
          </w:tcPr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235/75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15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602270" w:rsidP="00602270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8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Pr="00D541FC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15</w:t>
            </w:r>
          </w:p>
        </w:tc>
        <w:tc>
          <w:tcPr>
            <w:tcW w:w="432" w:type="pct"/>
          </w:tcPr>
          <w:p w:rsidR="00602270" w:rsidRPr="006A170E" w:rsidRDefault="00573A85" w:rsidP="0060227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16760" w:rsidRDefault="00616760" w:rsidP="00602270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3026" w:type="pct"/>
            <w:vAlign w:val="center"/>
          </w:tcPr>
          <w:p w:rsidR="00573A85" w:rsidRPr="00602D3B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Câmara de ar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para pneu 7.50x16 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:</w:t>
            </w:r>
            <w:r w:rsidRPr="00602D3B">
              <w:t xml:space="preserve"> </w:t>
            </w:r>
            <w:hyperlink r:id="rId19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 w:themeFill="background1"/>
                </w:rPr>
                <w:t>31305</w:t>
              </w:r>
            </w:hyperlink>
          </w:p>
        </w:tc>
        <w:tc>
          <w:tcPr>
            <w:tcW w:w="547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167E5D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167E5D">
              <w:rPr>
                <w:rFonts w:ascii="Calibri" w:hAnsi="Calibri" w:cs="Calibri"/>
                <w:sz w:val="20"/>
                <w:szCs w:val="20"/>
              </w:rPr>
              <w:t xml:space="preserve"> 7.00x16, diagonal, com 10 lonas,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em borracha de alta resistência na região da banda rodagem.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 xml:space="preserve"> com selo de aprovação do INMETRO.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0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7.50x16</w:t>
            </w:r>
            <w:r>
              <w:rPr>
                <w:rFonts w:ascii="Calibri" w:hAnsi="Calibri" w:cs="Calibri"/>
                <w:sz w:val="20"/>
                <w:szCs w:val="20"/>
              </w:rPr>
              <w:t>, diagonal, com 10 lonas, em borracha de alta resistência na região da banda rodagem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 xml:space="preserve">Com selo de aprovação do </w:t>
            </w:r>
            <w:r>
              <w:rPr>
                <w:rFonts w:ascii="Calibri" w:hAnsi="Calibri" w:cs="Calibri"/>
                <w:sz w:val="20"/>
                <w:szCs w:val="20"/>
              </w:rPr>
              <w:t>INMETRO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1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3026" w:type="pct"/>
            <w:vAlign w:val="center"/>
          </w:tcPr>
          <w:p w:rsidR="00573A85" w:rsidRP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573A85">
              <w:rPr>
                <w:rFonts w:ascii="Calibri" w:hAnsi="Calibri" w:cs="Calibri"/>
                <w:sz w:val="20"/>
                <w:szCs w:val="20"/>
              </w:rPr>
              <w:t xml:space="preserve"> 205/75R16, radial, em borracha de alta resistência, sem câmara.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2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Pr="00D541FC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225/75R16, radial, em borracha de alta resistência, sem câmara.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>om selo de aprovação do INMETRO.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t xml:space="preserve"> </w:t>
            </w:r>
            <w:hyperlink r:id="rId23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Pr="00D541FC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3026" w:type="pct"/>
            <w:vAlign w:val="center"/>
          </w:tcPr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265/70 r16, radial, em borracha de alta resistência, sem câmara.</w:t>
            </w:r>
          </w:p>
          <w:p w:rsidR="00573A85" w:rsidRDefault="00573A85" w:rsidP="00573A85">
            <w:pPr>
              <w:rPr>
                <w:rFonts w:ascii="Calibri" w:hAnsi="Calibri" w:cs="Calibri"/>
                <w:sz w:val="20"/>
                <w:szCs w:val="20"/>
              </w:rPr>
            </w:pPr>
            <w:r w:rsidRPr="00970A1F">
              <w:rPr>
                <w:rFonts w:ascii="Calibri" w:hAnsi="Calibri" w:cs="Calibri"/>
                <w:sz w:val="20"/>
                <w:szCs w:val="20"/>
              </w:rPr>
              <w:t>C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om selo de aprovação do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inmetro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:rsidR="00573A85" w:rsidRPr="006A170E" w:rsidRDefault="00573A85" w:rsidP="00573A85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4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3026" w:type="pct"/>
          </w:tcPr>
          <w:p w:rsidR="00573A85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10-16,5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 com 12 lonas,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em borracha de alta resistência, sem câmara.</w:t>
            </w:r>
          </w:p>
          <w:p w:rsidR="00573A85" w:rsidRPr="00195A73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25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16,5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27F3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E827F3" w:rsidRDefault="00E827F3" w:rsidP="00E827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3026" w:type="pct"/>
            <w:vAlign w:val="center"/>
          </w:tcPr>
          <w:p w:rsidR="00E827F3" w:rsidRDefault="00E827F3" w:rsidP="00E827F3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215/75</w:t>
            </w:r>
            <w:r>
              <w:rPr>
                <w:rFonts w:ascii="Calibri" w:hAnsi="Calibri" w:cs="Calibri"/>
                <w:sz w:val="20"/>
                <w:szCs w:val="20"/>
              </w:rPr>
              <w:t>R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17.5</w:t>
            </w:r>
            <w:r>
              <w:rPr>
                <w:rFonts w:ascii="Calibri" w:hAnsi="Calibri" w:cs="Calibri"/>
                <w:sz w:val="20"/>
                <w:szCs w:val="20"/>
              </w:rPr>
              <w:t>, com 12 lonas, sem câmara, em borracha de alta resistência.</w:t>
            </w:r>
          </w:p>
          <w:p w:rsidR="00E827F3" w:rsidRDefault="00E827F3" w:rsidP="00E827F3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E827F3" w:rsidRPr="006A170E" w:rsidRDefault="00E827F3" w:rsidP="00E827F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6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E827F3" w:rsidRDefault="00E827F3" w:rsidP="00E827F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17,5</w:t>
            </w:r>
          </w:p>
        </w:tc>
        <w:tc>
          <w:tcPr>
            <w:tcW w:w="432" w:type="pct"/>
          </w:tcPr>
          <w:p w:rsidR="00E827F3" w:rsidRPr="006A170E" w:rsidRDefault="00E827F3" w:rsidP="00E827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E827F3" w:rsidRDefault="00E827F3" w:rsidP="00E827F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E827F3" w:rsidP="00D8735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3026" w:type="pct"/>
            <w:vAlign w:val="center"/>
          </w:tcPr>
          <w:p w:rsidR="00602270" w:rsidRDefault="00602270" w:rsidP="0054777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80/100R18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Pr="00602D3B" w:rsidRDefault="00602270" w:rsidP="0054777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02D3B" w:rsidRDefault="00602270" w:rsidP="00547778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7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32" w:type="pct"/>
          </w:tcPr>
          <w:p w:rsidR="00602270" w:rsidRDefault="00602270" w:rsidP="00D8735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D8735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9F7C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26" w:type="pct"/>
            <w:vAlign w:val="center"/>
          </w:tcPr>
          <w:p w:rsidR="00602270" w:rsidRDefault="00602270" w:rsidP="009F7C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100/80R18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Pr="00602D3B" w:rsidRDefault="00602270" w:rsidP="009F7CE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02D3B" w:rsidRDefault="00602270" w:rsidP="009F7CE5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28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32" w:type="pct"/>
          </w:tcPr>
          <w:p w:rsidR="00602270" w:rsidRPr="006A170E" w:rsidRDefault="00602270" w:rsidP="009F7CE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9F7CE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A805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26" w:type="pct"/>
            <w:vAlign w:val="center"/>
          </w:tcPr>
          <w:p w:rsidR="00602270" w:rsidRDefault="00602270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90/90R18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>:</w:t>
            </w:r>
            <w:r w:rsidRPr="00602D3B">
              <w:t xml:space="preserve"> </w:t>
            </w:r>
            <w:hyperlink r:id="rId29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32" w:type="pct"/>
          </w:tcPr>
          <w:p w:rsidR="00602270" w:rsidRPr="006A170E" w:rsidRDefault="00602270" w:rsidP="00A80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A805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A805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6" w:type="pct"/>
            <w:vAlign w:val="center"/>
          </w:tcPr>
          <w:p w:rsidR="00602270" w:rsidRDefault="00602270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90/110R18</w:t>
            </w:r>
            <w:r>
              <w:rPr>
                <w:rFonts w:ascii="Calibri" w:hAnsi="Calibri" w:cs="Calibri"/>
                <w:sz w:val="20"/>
                <w:szCs w:val="20"/>
              </w:rPr>
              <w:t>, radial, em borracha de alta resistência, sem câmara.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602D3B" w:rsidRDefault="00602270" w:rsidP="00A8059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0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</w:rPr>
                <w:t>98256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32" w:type="pct"/>
          </w:tcPr>
          <w:p w:rsidR="00602270" w:rsidRPr="006A170E" w:rsidRDefault="00602270" w:rsidP="00A8059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A805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Pr="006A170E" w:rsidRDefault="00573A85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26" w:type="pct"/>
          </w:tcPr>
          <w:p w:rsidR="00573A85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12,5/80-18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12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em borracha de alta resistência, sem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573A85" w:rsidRPr="00195A73" w:rsidRDefault="00573A85" w:rsidP="00573A85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1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18</w:t>
            </w:r>
          </w:p>
        </w:tc>
        <w:tc>
          <w:tcPr>
            <w:tcW w:w="432" w:type="pct"/>
          </w:tcPr>
          <w:p w:rsidR="00573A85" w:rsidRPr="006A170E" w:rsidRDefault="00573A85" w:rsidP="00573A8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Pr="006A170E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Pr="006A170E" w:rsidRDefault="00573A85" w:rsidP="000935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26" w:type="pct"/>
            <w:vAlign w:val="center"/>
          </w:tcPr>
          <w:p w:rsidR="00602270" w:rsidRPr="00602D3B" w:rsidRDefault="00602270" w:rsidP="0009350D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Câmara de ar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 para pneu 1.000x20, em borracha.</w:t>
            </w:r>
          </w:p>
          <w:p w:rsidR="00602270" w:rsidRPr="00602D3B" w:rsidRDefault="00602270" w:rsidP="0009350D">
            <w:pPr>
              <w:rPr>
                <w:rFonts w:ascii="Calibri" w:hAnsi="Calibri" w:cs="Calibri"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 w:rsidRPr="00602D3B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2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/>
                </w:rPr>
                <w:t>244665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432" w:type="pct"/>
          </w:tcPr>
          <w:p w:rsidR="00602270" w:rsidRPr="006A170E" w:rsidRDefault="00602270" w:rsidP="0009350D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935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Pr="006A170E" w:rsidRDefault="00573A85" w:rsidP="000935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3026" w:type="pct"/>
            <w:vAlign w:val="center"/>
          </w:tcPr>
          <w:p w:rsidR="00602270" w:rsidRPr="00602D3B" w:rsidRDefault="00573A85" w:rsidP="0009350D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Cs/>
                <w:sz w:val="20"/>
                <w:szCs w:val="20"/>
              </w:rPr>
              <w:t>Protetor câmara de ar 1.000x20, emborrachada.</w:t>
            </w:r>
          </w:p>
          <w:p w:rsidR="00602270" w:rsidRPr="00602D3B" w:rsidRDefault="00573A85" w:rsidP="0009350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02D3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Catmat: </w:t>
            </w:r>
            <w:hyperlink r:id="rId33" w:history="1">
              <w:r w:rsidRPr="00602D3B">
                <w:rPr>
                  <w:rStyle w:val="Hyperlink"/>
                  <w:rFonts w:ascii="Verdana" w:hAnsi="Verdana"/>
                  <w:color w:val="000000"/>
                  <w:sz w:val="17"/>
                  <w:szCs w:val="17"/>
                  <w:u w:val="none"/>
                  <w:shd w:val="clear" w:color="auto" w:fill="FFFFFF"/>
                </w:rPr>
                <w:t>257667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432" w:type="pct"/>
          </w:tcPr>
          <w:p w:rsidR="00602270" w:rsidRPr="006A170E" w:rsidRDefault="00602270" w:rsidP="000935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9350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Pr="006A170E" w:rsidRDefault="00573A85" w:rsidP="00A8059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3026" w:type="pct"/>
            <w:vAlign w:val="center"/>
          </w:tcPr>
          <w:p w:rsidR="00602270" w:rsidRDefault="00573A85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1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000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x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A170E">
              <w:rPr>
                <w:rFonts w:ascii="Calibri" w:hAnsi="Calibri" w:cs="Calibri"/>
                <w:sz w:val="20"/>
                <w:szCs w:val="20"/>
              </w:rPr>
              <w:t>20 borrachudos</w:t>
            </w:r>
            <w:r>
              <w:rPr>
                <w:rFonts w:ascii="Calibri" w:hAnsi="Calibri" w:cs="Calibri"/>
                <w:sz w:val="20"/>
                <w:szCs w:val="20"/>
              </w:rPr>
              <w:t>, com 16 lonas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602270" w:rsidRDefault="00573A85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602270" w:rsidRPr="006A170E" w:rsidRDefault="00573A85" w:rsidP="00A80592">
            <w:pPr>
              <w:rPr>
                <w:rFonts w:ascii="Calibri" w:hAnsi="Calibri" w:cs="Calibr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4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20</w:t>
            </w:r>
          </w:p>
        </w:tc>
        <w:tc>
          <w:tcPr>
            <w:tcW w:w="432" w:type="pct"/>
          </w:tcPr>
          <w:p w:rsidR="00602270" w:rsidRPr="006A170E" w:rsidRDefault="00602270" w:rsidP="00A80592">
            <w:pPr>
              <w:jc w:val="center"/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A8059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E827F3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E827F3" w:rsidRDefault="00E827F3" w:rsidP="00E827F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3026" w:type="pct"/>
            <w:vAlign w:val="center"/>
          </w:tcPr>
          <w:p w:rsidR="00E827F3" w:rsidRDefault="00E827F3" w:rsidP="00E827F3">
            <w:pPr>
              <w:rPr>
                <w:rFonts w:ascii="Calibri" w:hAnsi="Calibri" w:cs="Calibri"/>
                <w:sz w:val="20"/>
                <w:szCs w:val="20"/>
              </w:rPr>
            </w:pPr>
            <w:r w:rsidRPr="00573A85">
              <w:rPr>
                <w:rFonts w:ascii="Calibri" w:hAnsi="Calibri" w:cs="Calibri"/>
                <w:bCs/>
                <w:sz w:val="20"/>
                <w:szCs w:val="20"/>
              </w:rPr>
              <w:t>Pneu</w:t>
            </w:r>
            <w:r w:rsidRPr="006A170E">
              <w:rPr>
                <w:rFonts w:ascii="Calibri" w:hAnsi="Calibri" w:cs="Calibri"/>
                <w:sz w:val="20"/>
                <w:szCs w:val="20"/>
              </w:rPr>
              <w:t xml:space="preserve"> 275/80x22.5,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radial, em borracha de alta resistência, sem câmara.</w:t>
            </w:r>
          </w:p>
          <w:p w:rsidR="00E827F3" w:rsidRDefault="00E827F3" w:rsidP="00E827F3">
            <w:pPr>
              <w:rPr>
                <w:rFonts w:ascii="Calibri" w:hAnsi="Calibri" w:cs="Calibri"/>
                <w:sz w:val="20"/>
                <w:szCs w:val="20"/>
              </w:rPr>
            </w:pPr>
            <w:r w:rsidRPr="006A170E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</w:p>
          <w:p w:rsidR="00E827F3" w:rsidRPr="006A170E" w:rsidRDefault="00E827F3" w:rsidP="00E827F3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hyperlink r:id="rId35" w:history="1">
              <w:r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E827F3" w:rsidRPr="00D541FC" w:rsidRDefault="00E827F3" w:rsidP="00E827F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22,5</w:t>
            </w:r>
          </w:p>
        </w:tc>
        <w:tc>
          <w:tcPr>
            <w:tcW w:w="432" w:type="pct"/>
          </w:tcPr>
          <w:p w:rsidR="00E827F3" w:rsidRDefault="00E827F3" w:rsidP="00E827F3"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D541FC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E827F3" w:rsidRDefault="00E827F3" w:rsidP="00E827F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573A85" w:rsidP="000245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27F3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3026" w:type="pct"/>
          </w:tcPr>
          <w:p w:rsidR="00602270" w:rsidRDefault="00573A85" w:rsidP="00024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19,5l-24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12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em borracha de alta resistência, sem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195A73" w:rsidRDefault="00573A85" w:rsidP="0002452C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t xml:space="preserve"> </w:t>
            </w:r>
            <w:hyperlink r:id="rId36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24</w:t>
            </w:r>
          </w:p>
        </w:tc>
        <w:tc>
          <w:tcPr>
            <w:tcW w:w="432" w:type="pct"/>
          </w:tcPr>
          <w:p w:rsidR="00602270" w:rsidRDefault="00602270" w:rsidP="0002452C">
            <w:r w:rsidRPr="006F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24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73A85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573A85" w:rsidRDefault="00E827F3" w:rsidP="00573A8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3026" w:type="pct"/>
          </w:tcPr>
          <w:p w:rsidR="00573A85" w:rsidRDefault="00573A85" w:rsidP="00573A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1400x24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diagonal, com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12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em borracha de alta resistência,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 xml:space="preserve">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573A85" w:rsidRPr="00195A73" w:rsidRDefault="00573A85" w:rsidP="00573A85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37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573A85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24</w:t>
            </w:r>
          </w:p>
        </w:tc>
        <w:tc>
          <w:tcPr>
            <w:tcW w:w="432" w:type="pct"/>
          </w:tcPr>
          <w:p w:rsidR="00573A85" w:rsidRPr="006F2CBE" w:rsidRDefault="00573A85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A170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573A85" w:rsidRPr="006A170E" w:rsidRDefault="00573A85" w:rsidP="00573A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02270" w:rsidRPr="006A170E" w:rsidTr="00E827F3">
        <w:trPr>
          <w:trHeight w:val="315"/>
          <w:jc w:val="center"/>
        </w:trPr>
        <w:tc>
          <w:tcPr>
            <w:tcW w:w="333" w:type="pct"/>
            <w:vAlign w:val="center"/>
          </w:tcPr>
          <w:p w:rsidR="00602270" w:rsidRDefault="00E827F3" w:rsidP="0002452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3026" w:type="pct"/>
          </w:tcPr>
          <w:p w:rsidR="00602270" w:rsidRDefault="00573A85" w:rsidP="000245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Pneu 20,5x25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diagonal,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16 lonas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195A73">
              <w:rPr>
                <w:rFonts w:asciiTheme="minorHAnsi" w:hAnsiTheme="minorHAnsi" w:cstheme="minorHAnsi"/>
                <w:sz w:val="20"/>
                <w:szCs w:val="20"/>
              </w:rPr>
              <w:t>em borracha de alta resistência, sem câmara.</w:t>
            </w:r>
          </w:p>
          <w:p w:rsidR="00573A85" w:rsidRPr="00602D3B" w:rsidRDefault="00573A85" w:rsidP="00573A85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602D3B">
              <w:rPr>
                <w:rFonts w:ascii="Calibri" w:hAnsi="Calibri" w:cs="Calibri"/>
                <w:sz w:val="20"/>
                <w:szCs w:val="20"/>
              </w:rPr>
              <w:t>Com selo de aprovação do INMETRO.</w:t>
            </w:r>
            <w:r w:rsidRPr="00602D3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:rsidR="00602270" w:rsidRPr="00195A73" w:rsidRDefault="00573A85" w:rsidP="0002452C">
            <w:pPr>
              <w:pStyle w:val="Contedodatabela"/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4089C">
              <w:rPr>
                <w:rFonts w:ascii="Calibri" w:hAnsi="Calibri" w:cs="Calibri"/>
                <w:b/>
                <w:sz w:val="20"/>
                <w:szCs w:val="20"/>
              </w:rPr>
              <w:t>Catmat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  <w:r w:rsidR="005C0D86">
              <w:t xml:space="preserve"> </w:t>
            </w:r>
            <w:hyperlink r:id="rId38" w:history="1">
              <w:r w:rsidR="005C0D86" w:rsidRPr="005C0D86">
                <w:rPr>
                  <w:rStyle w:val="Hyperlink"/>
                  <w:rFonts w:ascii="Verdana" w:hAnsi="Verdana"/>
                  <w:color w:val="000000"/>
                  <w:sz w:val="17"/>
                  <w:szCs w:val="17"/>
                </w:rPr>
                <w:t>31291</w:t>
              </w:r>
            </w:hyperlink>
          </w:p>
        </w:tc>
        <w:tc>
          <w:tcPr>
            <w:tcW w:w="547" w:type="pct"/>
          </w:tcPr>
          <w:p w:rsidR="00602270" w:rsidRDefault="00602270" w:rsidP="00573A8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Aro 25</w:t>
            </w:r>
          </w:p>
        </w:tc>
        <w:tc>
          <w:tcPr>
            <w:tcW w:w="432" w:type="pct"/>
          </w:tcPr>
          <w:p w:rsidR="00602270" w:rsidRDefault="00602270" w:rsidP="0002452C">
            <w:r w:rsidRPr="006F2CB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UND</w:t>
            </w:r>
          </w:p>
        </w:tc>
        <w:tc>
          <w:tcPr>
            <w:tcW w:w="662" w:type="pct"/>
          </w:tcPr>
          <w:p w:rsidR="00602270" w:rsidRPr="006A170E" w:rsidRDefault="00602270" w:rsidP="0002452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FC3E7A" w:rsidRDefault="00FC3E7A" w:rsidP="00FC3E7A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</w:p>
    <w:p w:rsidR="00F04C77" w:rsidRPr="006A170E" w:rsidRDefault="00F04C77" w:rsidP="009431E5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rPr>
          <w:rFonts w:ascii="Calibri" w:eastAsia="Calibri" w:hAnsi="Calibri" w:cs="Times"/>
          <w:sz w:val="22"/>
          <w:szCs w:val="22"/>
        </w:rPr>
      </w:pPr>
      <w:r w:rsidRPr="006A170E">
        <w:rPr>
          <w:rFonts w:ascii="Calibri" w:eastAsia="Calibri" w:hAnsi="Calibri" w:cs="Times"/>
          <w:sz w:val="22"/>
          <w:szCs w:val="22"/>
        </w:rPr>
        <w:t>Observações:</w:t>
      </w:r>
      <w:r w:rsidR="009431E5" w:rsidRPr="006A170E">
        <w:rPr>
          <w:rFonts w:ascii="Calibri" w:eastAsia="Calibri" w:hAnsi="Calibri" w:cs="Times"/>
          <w:sz w:val="22"/>
          <w:szCs w:val="22"/>
        </w:rPr>
        <w:t xml:space="preserve"> </w:t>
      </w:r>
      <w:r w:rsidRPr="006A170E">
        <w:rPr>
          <w:rFonts w:ascii="Calibri" w:hAnsi="Calibri"/>
          <w:sz w:val="22"/>
          <w:szCs w:val="22"/>
        </w:rPr>
        <w:t xml:space="preserve">Não serão aceitos pneus recauchutados, </w:t>
      </w:r>
      <w:proofErr w:type="spellStart"/>
      <w:r w:rsidRPr="006A170E">
        <w:rPr>
          <w:rFonts w:ascii="Calibri" w:hAnsi="Calibri"/>
          <w:sz w:val="22"/>
          <w:szCs w:val="22"/>
        </w:rPr>
        <w:t>remanufaturados</w:t>
      </w:r>
      <w:proofErr w:type="spellEnd"/>
      <w:r w:rsidRPr="006A170E">
        <w:rPr>
          <w:rFonts w:ascii="Calibri" w:hAnsi="Calibri"/>
          <w:sz w:val="22"/>
          <w:szCs w:val="22"/>
        </w:rPr>
        <w:t>, reciclados, reformados, recondicionados, recapados ou outros de qualquer natureza semelhante.</w:t>
      </w:r>
    </w:p>
    <w:p w:rsidR="00F04C77" w:rsidRPr="006A170E" w:rsidRDefault="00F04C77" w:rsidP="00F04C77">
      <w:pPr>
        <w:pStyle w:val="Default"/>
        <w:tabs>
          <w:tab w:val="left" w:pos="142"/>
          <w:tab w:val="left" w:pos="426"/>
        </w:tabs>
        <w:jc w:val="both"/>
        <w:rPr>
          <w:rFonts w:ascii="Calibri" w:hAnsi="Calibri" w:cs="Times New Roman"/>
          <w:color w:val="auto"/>
          <w:sz w:val="22"/>
          <w:szCs w:val="22"/>
        </w:rPr>
      </w:pPr>
    </w:p>
    <w:p w:rsidR="00FB247B" w:rsidRDefault="00FB247B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E827F3" w:rsidRDefault="00E827F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p w:rsidR="00632677" w:rsidRPr="00F13702" w:rsidRDefault="00632677" w:rsidP="00E827F3">
      <w:pPr>
        <w:jc w:val="center"/>
        <w:rPr>
          <w:rFonts w:ascii="Calibri" w:hAnsi="Calibri"/>
          <w:b/>
          <w:sz w:val="22"/>
          <w:szCs w:val="22"/>
        </w:rPr>
      </w:pPr>
      <w:r w:rsidRPr="00F13702">
        <w:rPr>
          <w:rFonts w:ascii="Calibri" w:hAnsi="Calibri"/>
          <w:b/>
          <w:sz w:val="22"/>
          <w:szCs w:val="22"/>
        </w:rPr>
        <w:t>ANEXO II</w:t>
      </w:r>
    </w:p>
    <w:p w:rsidR="00632677" w:rsidRPr="00F13702" w:rsidRDefault="00632677" w:rsidP="00632677">
      <w:pPr>
        <w:pStyle w:val="Corpodetexto"/>
        <w:spacing w:before="60"/>
        <w:jc w:val="center"/>
        <w:rPr>
          <w:rFonts w:ascii="Calibri" w:hAnsi="Calibri" w:cs="Calibri"/>
          <w:sz w:val="22"/>
          <w:szCs w:val="22"/>
        </w:rPr>
      </w:pPr>
      <w:r w:rsidRPr="00F13702">
        <w:rPr>
          <w:rFonts w:ascii="Calibri" w:hAnsi="Calibri" w:cs="Calibri"/>
          <w:sz w:val="22"/>
          <w:szCs w:val="22"/>
        </w:rPr>
        <w:t>ENDEREÇOS DE ENTREGA DOS ÓRGÃOS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2096"/>
        <w:gridCol w:w="7057"/>
      </w:tblGrid>
      <w:tr w:rsidR="00632677" w:rsidRPr="00B10A10" w:rsidTr="00050125">
        <w:trPr>
          <w:trHeight w:val="374"/>
        </w:trPr>
        <w:tc>
          <w:tcPr>
            <w:tcW w:w="2583" w:type="dxa"/>
            <w:gridSpan w:val="2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ÓRGÃO GERENCIADOR</w:t>
            </w:r>
          </w:p>
        </w:tc>
        <w:tc>
          <w:tcPr>
            <w:tcW w:w="705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ENDEREÇO</w:t>
            </w:r>
          </w:p>
        </w:tc>
      </w:tr>
      <w:tr w:rsidR="00632677" w:rsidRPr="00B10A10" w:rsidTr="00050125">
        <w:trPr>
          <w:trHeight w:val="257"/>
        </w:trPr>
        <w:tc>
          <w:tcPr>
            <w:tcW w:w="48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1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ARSER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>Rua Pedro Monteiro, Centro – Maceió/AL. CEP 57020-380</w:t>
            </w:r>
          </w:p>
        </w:tc>
      </w:tr>
      <w:tr w:rsidR="00632677" w:rsidRPr="00B10A10" w:rsidTr="00050125">
        <w:trPr>
          <w:trHeight w:val="316"/>
        </w:trPr>
        <w:tc>
          <w:tcPr>
            <w:tcW w:w="2583" w:type="dxa"/>
            <w:gridSpan w:val="2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ÓRGÃOS PARTICIPANTES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tabs>
                <w:tab w:val="left" w:pos="1605"/>
              </w:tabs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ab/>
            </w:r>
            <w:r w:rsidRPr="00B10A10">
              <w:rPr>
                <w:rFonts w:ascii="Calibri" w:hAnsi="Calibri"/>
                <w:sz w:val="21"/>
                <w:szCs w:val="21"/>
              </w:rPr>
              <w:t>ENDEREÇO</w:t>
            </w:r>
          </w:p>
        </w:tc>
      </w:tr>
      <w:tr w:rsidR="00632677" w:rsidTr="00050125">
        <w:trPr>
          <w:trHeight w:val="3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2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77" w:rsidRDefault="00632677" w:rsidP="00632677">
            <w:pPr>
              <w:spacing w:line="276" w:lineRule="auto"/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US"/>
              </w:rPr>
              <w:t>GP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677" w:rsidRDefault="00632677" w:rsidP="00632677">
            <w:pPr>
              <w:spacing w:line="276" w:lineRule="auto"/>
              <w:jc w:val="both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Rua Desembargador Almeida Guimarães, Nº 87,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Pajuçara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– Maceió/AL.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3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SEMAS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Rua </w:t>
            </w:r>
            <w:proofErr w:type="spellStart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>Oldemburgo</w:t>
            </w:r>
            <w:proofErr w:type="spellEnd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Paranhos, Nº 597, Farol – Maceió/AL.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4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SMS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Rua Dias Cabral, 569, Centro</w:t>
            </w:r>
            <w:r w:rsidRPr="00F13702"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CEP 57020-250 // Fone: (82) 3315-5180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5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SEMEC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>Rua Pedro Monteiro, Nº 47, Centro – Maceió/AL.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6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SEMED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Rua General Hermes, Nº 1199, </w:t>
            </w:r>
            <w:proofErr w:type="spellStart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>Cambona</w:t>
            </w:r>
            <w:proofErr w:type="spellEnd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– Maceió/AL. CEP 57017-000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 w:rsidRPr="00B10A10">
              <w:rPr>
                <w:rFonts w:ascii="Calibri" w:hAnsi="Calibri"/>
                <w:sz w:val="21"/>
                <w:szCs w:val="21"/>
              </w:rPr>
              <w:t>7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SEMDS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Rua Marquês de Abrantes, s/n, Bebedouro</w:t>
            </w:r>
            <w:r w:rsidRPr="00F13702"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</w:p>
          <w:p w:rsidR="00632677" w:rsidRPr="00B10A10" w:rsidRDefault="00050125" w:rsidP="00632677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8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SEMSCS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Av. </w:t>
            </w:r>
            <w:proofErr w:type="spellStart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>Theobaldo</w:t>
            </w:r>
            <w:proofErr w:type="spellEnd"/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Barbosa, S/N, Conjunto Joaquim Leão, Vergel do Lago – Maceió/AL. CEP 57015000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632677" w:rsidRPr="00F13702" w:rsidRDefault="00050125" w:rsidP="00050125">
            <w:pPr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 xml:space="preserve">  9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SEMTABES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Rua Barão de Anadia, 85, Centro</w:t>
            </w:r>
            <w:r w:rsidRPr="00F13702"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CEP 57020-630 / Fone: (82) 3315-6260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632677" w:rsidRPr="00F13702" w:rsidRDefault="00050125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10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SLUM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Praça Ciro Acioly, 96, Ponta Grossa</w:t>
            </w:r>
            <w:r w:rsidRPr="00F13702"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CEP 57014-710 / Fone: (82) 3315-2600 // Disque Limpeza 0800 082 2600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F13702" w:rsidRDefault="00050125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SEMTUR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Av. da Paz, Nº 1.422, Centro – Maceió/AL. CEP 57020440.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F13702" w:rsidRDefault="00050125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12</w:t>
            </w:r>
          </w:p>
        </w:tc>
        <w:tc>
          <w:tcPr>
            <w:tcW w:w="2096" w:type="dxa"/>
          </w:tcPr>
          <w:p w:rsidR="00632677" w:rsidRPr="00F13702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F13702">
              <w:rPr>
                <w:rFonts w:ascii="Calibri" w:hAnsi="Calibri"/>
                <w:color w:val="000000"/>
                <w:sz w:val="21"/>
                <w:szCs w:val="21"/>
              </w:rPr>
              <w:t>SEDET</w:t>
            </w:r>
          </w:p>
        </w:tc>
        <w:tc>
          <w:tcPr>
            <w:tcW w:w="7057" w:type="dxa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</w:pPr>
            <w:r w:rsidRPr="00F13702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Avenida Governador Afrânio Lages, 297, Farol.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F13702" w:rsidRDefault="00050125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13</w:t>
            </w:r>
          </w:p>
        </w:tc>
        <w:tc>
          <w:tcPr>
            <w:tcW w:w="2096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632677" w:rsidRPr="00B10A10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B10A10">
              <w:rPr>
                <w:rFonts w:ascii="Calibri" w:hAnsi="Calibri"/>
                <w:color w:val="000000"/>
                <w:sz w:val="21"/>
                <w:szCs w:val="21"/>
              </w:rPr>
              <w:t>SEMGE</w:t>
            </w:r>
          </w:p>
        </w:tc>
        <w:tc>
          <w:tcPr>
            <w:tcW w:w="7057" w:type="dxa"/>
          </w:tcPr>
          <w:p w:rsidR="00632677" w:rsidRPr="00B10A10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B10A10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Rua Pedro Monteiro, 5, Centro.</w:t>
            </w:r>
            <w:r w:rsidRPr="00B10A10">
              <w:rPr>
                <w:rStyle w:val="apple-converted-space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B10A10">
              <w:rPr>
                <w:rFonts w:ascii="Calibri" w:hAnsi="Calibri" w:cs="Calibri"/>
                <w:color w:val="000000"/>
                <w:sz w:val="21"/>
                <w:szCs w:val="21"/>
              </w:rPr>
              <w:br/>
            </w:r>
            <w:r w:rsidRPr="00B10A10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CEP 57020-150 // Fone: (82) 3315-7115 / 7104 / 7113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  <w:shd w:val="clear" w:color="auto" w:fill="auto"/>
          </w:tcPr>
          <w:p w:rsidR="00632677" w:rsidRPr="00F13702" w:rsidRDefault="00050125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14</w:t>
            </w:r>
          </w:p>
        </w:tc>
        <w:tc>
          <w:tcPr>
            <w:tcW w:w="2096" w:type="dxa"/>
            <w:shd w:val="clear" w:color="auto" w:fill="auto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SEMINFRA</w:t>
            </w:r>
          </w:p>
        </w:tc>
        <w:tc>
          <w:tcPr>
            <w:tcW w:w="7057" w:type="dxa"/>
            <w:shd w:val="clear" w:color="auto" w:fill="auto"/>
          </w:tcPr>
          <w:p w:rsidR="00632677" w:rsidRPr="00F13702" w:rsidRDefault="00632677" w:rsidP="00632677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F137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Rua do Imperador, 307, Centro</w:t>
            </w:r>
            <w:r w:rsidRPr="00F13702">
              <w:rPr>
                <w:rStyle w:val="apple-converted-space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F1370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F137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CEP 57023-060 // Fones: (82) 3315-5005 /3536</w:t>
            </w:r>
          </w:p>
        </w:tc>
      </w:tr>
      <w:tr w:rsidR="00632677" w:rsidRPr="00B10A10" w:rsidTr="00050125">
        <w:trPr>
          <w:trHeight w:val="353"/>
        </w:trPr>
        <w:tc>
          <w:tcPr>
            <w:tcW w:w="487" w:type="dxa"/>
          </w:tcPr>
          <w:p w:rsidR="00632677" w:rsidRPr="00F13702" w:rsidRDefault="00050125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15</w:t>
            </w:r>
          </w:p>
        </w:tc>
        <w:tc>
          <w:tcPr>
            <w:tcW w:w="2096" w:type="dxa"/>
          </w:tcPr>
          <w:p w:rsidR="00632677" w:rsidRPr="00B10A10" w:rsidRDefault="00632677" w:rsidP="00632677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COMARHP</w:t>
            </w:r>
          </w:p>
        </w:tc>
        <w:tc>
          <w:tcPr>
            <w:tcW w:w="7057" w:type="dxa"/>
          </w:tcPr>
          <w:p w:rsidR="00632677" w:rsidRPr="00B10A10" w:rsidRDefault="00632677" w:rsidP="00632677">
            <w:pPr>
              <w:jc w:val="both"/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</w:pPr>
            <w:r w:rsidRPr="00F137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Rua General Hermes, 281, </w:t>
            </w:r>
            <w:proofErr w:type="spellStart"/>
            <w:r w:rsidRPr="00F137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Cambona</w:t>
            </w:r>
            <w:proofErr w:type="spellEnd"/>
            <w:r w:rsidRPr="00F13702">
              <w:rPr>
                <w:rStyle w:val="apple-converted-space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F13702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F13702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CEP 57017-010 // Fone: (82) 3336-5007</w:t>
            </w:r>
          </w:p>
        </w:tc>
      </w:tr>
      <w:tr w:rsidR="00050125" w:rsidRPr="00735401" w:rsidTr="00050125">
        <w:trPr>
          <w:trHeight w:val="3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5" w:rsidRPr="00050125" w:rsidRDefault="00050125" w:rsidP="00050125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16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5" w:rsidRPr="00050125" w:rsidRDefault="00050125" w:rsidP="00050125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050125">
              <w:rPr>
                <w:rFonts w:ascii="Calibri" w:hAnsi="Calibri"/>
                <w:color w:val="000000"/>
                <w:sz w:val="21"/>
                <w:szCs w:val="21"/>
              </w:rPr>
              <w:t>GVP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5" w:rsidRPr="00050125" w:rsidRDefault="00050125" w:rsidP="0005012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Rua Jornalista Lafaiete Belo, 47, Poço</w:t>
            </w:r>
            <w:r w:rsidRPr="00050125">
              <w:rPr>
                <w:rStyle w:val="apple-converted-space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>CEP 57025-690 // Fones: (82) 3315-2124 / 3315-2125</w:t>
            </w:r>
          </w:p>
        </w:tc>
      </w:tr>
      <w:tr w:rsidR="00050125" w:rsidRPr="00735401" w:rsidTr="00050125">
        <w:trPr>
          <w:trHeight w:val="3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5" w:rsidRPr="00050125" w:rsidRDefault="00050125" w:rsidP="00050125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17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5" w:rsidRPr="00050125" w:rsidRDefault="00050125" w:rsidP="00050125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050125">
              <w:rPr>
                <w:rFonts w:ascii="Calibri" w:hAnsi="Calibri"/>
                <w:color w:val="000000"/>
                <w:sz w:val="21"/>
                <w:szCs w:val="21"/>
              </w:rPr>
              <w:t>SECOM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25" w:rsidRPr="00050125" w:rsidRDefault="00050125" w:rsidP="00050125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Rua Jangadeiros Alagoanos, </w:t>
            </w:r>
            <w:proofErr w:type="spellStart"/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Pajuçara</w:t>
            </w:r>
            <w:proofErr w:type="spellEnd"/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, Nº 1481 -</w:t>
            </w:r>
            <w:r w:rsidRPr="00050125">
              <w:rPr>
                <w:rStyle w:val="apple-converted-space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 xml:space="preserve">CEP: 57030-000 - 2º andar da Galeria </w:t>
            </w:r>
            <w:proofErr w:type="spellStart"/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Città</w:t>
            </w:r>
            <w:proofErr w:type="spellEnd"/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Uffice</w:t>
            </w:r>
            <w:proofErr w:type="spellEnd"/>
            <w:r w:rsidRPr="00050125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 Atendimento ao público das 8h às 14h / Fones: (55 82) 3315-5736 / 3315-5074 / 98882-1135 (Imprensa) / 98882-8185 (Administrativo)</w:t>
            </w:r>
          </w:p>
        </w:tc>
      </w:tr>
      <w:tr w:rsidR="0069095C" w:rsidRPr="000305F9" w:rsidTr="0069095C">
        <w:trPr>
          <w:trHeight w:val="3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C" w:rsidRPr="0069095C" w:rsidRDefault="0069095C" w:rsidP="0069095C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ascii="Calibri" w:hAnsi="Calibri"/>
                <w:color w:val="000000"/>
                <w:sz w:val="21"/>
                <w:szCs w:val="21"/>
              </w:rPr>
              <w:t>18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C" w:rsidRPr="0069095C" w:rsidRDefault="0069095C" w:rsidP="0069095C">
            <w:pPr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69095C">
              <w:rPr>
                <w:rFonts w:ascii="Calibri" w:hAnsi="Calibri"/>
                <w:color w:val="000000"/>
                <w:sz w:val="21"/>
                <w:szCs w:val="21"/>
              </w:rPr>
              <w:t>SIMA</w:t>
            </w:r>
          </w:p>
        </w:tc>
        <w:tc>
          <w:tcPr>
            <w:tcW w:w="7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95C" w:rsidRPr="0069095C" w:rsidRDefault="0069095C" w:rsidP="0069095C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69095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Rua Marquês de Abrantes, s/n, Bebedouro</w:t>
            </w:r>
            <w:r w:rsidRPr="0069095C">
              <w:rPr>
                <w:rStyle w:val="apple-converted-space"/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9095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  <w:t xml:space="preserve">CEP 57018-330 // Fones: (82) 3315-3821 / 6410 / 3828 </w:t>
            </w:r>
            <w:proofErr w:type="spellStart"/>
            <w:r w:rsidRPr="0069095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Call</w:t>
            </w:r>
            <w:proofErr w:type="spellEnd"/>
            <w:r w:rsidRPr="0069095C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Center: 0800 031 9055</w:t>
            </w:r>
          </w:p>
        </w:tc>
      </w:tr>
    </w:tbl>
    <w:p w:rsidR="00632677" w:rsidRPr="00F13702" w:rsidRDefault="00632677" w:rsidP="00632677">
      <w:pPr>
        <w:jc w:val="both"/>
        <w:rPr>
          <w:rFonts w:ascii="Calibri" w:hAnsi="Calibri" w:cs="Calibri"/>
          <w:sz w:val="22"/>
          <w:szCs w:val="22"/>
        </w:rPr>
      </w:pPr>
    </w:p>
    <w:p w:rsidR="006F30B3" w:rsidRDefault="006F30B3" w:rsidP="0054646D">
      <w:pPr>
        <w:tabs>
          <w:tab w:val="left" w:pos="3090"/>
          <w:tab w:val="center" w:pos="4678"/>
        </w:tabs>
        <w:autoSpaceDE w:val="0"/>
        <w:autoSpaceDN w:val="0"/>
        <w:adjustRightInd w:val="0"/>
        <w:spacing w:before="120"/>
        <w:jc w:val="center"/>
        <w:rPr>
          <w:rFonts w:ascii="Calibri" w:eastAsia="Calibri" w:hAnsi="Calibri" w:cs="Times"/>
          <w:sz w:val="22"/>
          <w:szCs w:val="22"/>
        </w:rPr>
      </w:pPr>
    </w:p>
    <w:sectPr w:rsidR="006F30B3" w:rsidSect="00FB247B">
      <w:headerReference w:type="default" r:id="rId39"/>
      <w:footerReference w:type="default" r:id="rId40"/>
      <w:pgSz w:w="11906" w:h="16838"/>
      <w:pgMar w:top="1667" w:right="849" w:bottom="1417" w:left="1701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14DD" w:rsidRDefault="00CD14DD" w:rsidP="00380E9E">
      <w:r>
        <w:separator/>
      </w:r>
    </w:p>
  </w:endnote>
  <w:endnote w:type="continuationSeparator" w:id="0">
    <w:p w:rsidR="00CD14DD" w:rsidRDefault="00CD14DD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3094319"/>
      <w:docPartObj>
        <w:docPartGallery w:val="Page Numbers (Bottom of Page)"/>
        <w:docPartUnique/>
      </w:docPartObj>
    </w:sdtPr>
    <w:sdtEndPr/>
    <w:sdtContent>
      <w:p w:rsidR="00CD14DD" w:rsidRDefault="00CD14D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14DD" w:rsidRPr="00380E9E" w:rsidRDefault="00CD14DD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14DD" w:rsidRDefault="00CD14DD" w:rsidP="00380E9E">
      <w:bookmarkStart w:id="0" w:name="_Hlk532904693"/>
      <w:bookmarkEnd w:id="0"/>
      <w:r>
        <w:separator/>
      </w:r>
    </w:p>
  </w:footnote>
  <w:footnote w:type="continuationSeparator" w:id="0">
    <w:p w:rsidR="00CD14DD" w:rsidRDefault="00CD14DD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4DD" w:rsidRDefault="00CD14D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F00BEE9" wp14:editId="5AA8EDC6">
          <wp:simplePos x="0" y="0"/>
          <wp:positionH relativeFrom="column">
            <wp:posOffset>944880</wp:posOffset>
          </wp:positionH>
          <wp:positionV relativeFrom="paragraph">
            <wp:posOffset>-610235</wp:posOffset>
          </wp:positionV>
          <wp:extent cx="3656965" cy="952500"/>
          <wp:effectExtent l="0" t="0" r="635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6965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ptab w:relativeTo="margin" w:alignment="center" w:leader="none"/>
    </w:r>
  </w:p>
  <w:p w:rsidR="00CD14DD" w:rsidRDefault="00CD14DD">
    <w:pPr>
      <w:pStyle w:val="Cabealho"/>
    </w:pPr>
  </w:p>
  <w:p w:rsidR="00CD14DD" w:rsidRDefault="00CD14DD" w:rsidP="0014177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2A0320"/>
    <w:multiLevelType w:val="hybridMultilevel"/>
    <w:tmpl w:val="B72A38A2"/>
    <w:lvl w:ilvl="0" w:tplc="0416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4B36D1"/>
    <w:multiLevelType w:val="multilevel"/>
    <w:tmpl w:val="443E7ED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ECA10E8"/>
    <w:multiLevelType w:val="multilevel"/>
    <w:tmpl w:val="42368F20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  <w:color w:val="000000" w:themeColor="text1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5" w15:restartNumberingAfterBreak="0">
    <w:nsid w:val="4AFE4845"/>
    <w:multiLevelType w:val="hybridMultilevel"/>
    <w:tmpl w:val="7EFA9C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C7F13"/>
    <w:multiLevelType w:val="multilevel"/>
    <w:tmpl w:val="83E8BDA2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46366"/>
    <w:multiLevelType w:val="multilevel"/>
    <w:tmpl w:val="336641F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7D0A4902"/>
    <w:multiLevelType w:val="multilevel"/>
    <w:tmpl w:val="47D2AAC6"/>
    <w:lvl w:ilvl="0">
      <w:start w:val="4"/>
      <w:numFmt w:val="decimal"/>
      <w:lvlText w:val="%1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ascii="Arial" w:hAnsi="Arial" w:cs="Arial" w:hint="default"/>
        <w:color w:val="333333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333333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333333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color w:val="333333"/>
        <w:sz w:val="21"/>
      </w:r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</w:num>
  <w:num w:numId="6">
    <w:abstractNumId w:val="10"/>
  </w:num>
  <w:num w:numId="7">
    <w:abstractNumId w:val="6"/>
  </w:num>
  <w:num w:numId="8">
    <w:abstractNumId w:val="9"/>
  </w:num>
  <w:num w:numId="9">
    <w:abstractNumId w:val="8"/>
  </w:num>
  <w:num w:numId="10">
    <w:abstractNumId w:val="5"/>
  </w:num>
  <w:num w:numId="11">
    <w:abstractNumId w:val="7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E9E"/>
    <w:rsid w:val="000003C3"/>
    <w:rsid w:val="00020663"/>
    <w:rsid w:val="0002295C"/>
    <w:rsid w:val="0002452C"/>
    <w:rsid w:val="000302DA"/>
    <w:rsid w:val="00033806"/>
    <w:rsid w:val="00040506"/>
    <w:rsid w:val="00041A25"/>
    <w:rsid w:val="00050125"/>
    <w:rsid w:val="00057174"/>
    <w:rsid w:val="00071B43"/>
    <w:rsid w:val="00071EB0"/>
    <w:rsid w:val="00083819"/>
    <w:rsid w:val="000927E4"/>
    <w:rsid w:val="0009350D"/>
    <w:rsid w:val="000961D7"/>
    <w:rsid w:val="000A0A12"/>
    <w:rsid w:val="000B1263"/>
    <w:rsid w:val="000B6E8B"/>
    <w:rsid w:val="000C204E"/>
    <w:rsid w:val="000C34DF"/>
    <w:rsid w:val="000C4D01"/>
    <w:rsid w:val="000D07A3"/>
    <w:rsid w:val="000D3299"/>
    <w:rsid w:val="000D5A04"/>
    <w:rsid w:val="000F2215"/>
    <w:rsid w:val="000F30A5"/>
    <w:rsid w:val="000F599B"/>
    <w:rsid w:val="000F7705"/>
    <w:rsid w:val="000F7D31"/>
    <w:rsid w:val="001111BA"/>
    <w:rsid w:val="00114858"/>
    <w:rsid w:val="00116B52"/>
    <w:rsid w:val="00122FB8"/>
    <w:rsid w:val="00132D53"/>
    <w:rsid w:val="00134B23"/>
    <w:rsid w:val="00141772"/>
    <w:rsid w:val="001446B6"/>
    <w:rsid w:val="00152A71"/>
    <w:rsid w:val="001611E1"/>
    <w:rsid w:val="00161B2E"/>
    <w:rsid w:val="00167E5D"/>
    <w:rsid w:val="00172E3B"/>
    <w:rsid w:val="00177867"/>
    <w:rsid w:val="001778F4"/>
    <w:rsid w:val="001817FE"/>
    <w:rsid w:val="00184E22"/>
    <w:rsid w:val="00186F01"/>
    <w:rsid w:val="001906CB"/>
    <w:rsid w:val="00195A73"/>
    <w:rsid w:val="001969BD"/>
    <w:rsid w:val="001A3F6A"/>
    <w:rsid w:val="001A767A"/>
    <w:rsid w:val="001B1FC5"/>
    <w:rsid w:val="001B3AE5"/>
    <w:rsid w:val="001C000E"/>
    <w:rsid w:val="001C173F"/>
    <w:rsid w:val="001C419E"/>
    <w:rsid w:val="001D3B68"/>
    <w:rsid w:val="001D4FBE"/>
    <w:rsid w:val="001E42C4"/>
    <w:rsid w:val="001E524A"/>
    <w:rsid w:val="001E590A"/>
    <w:rsid w:val="001F7172"/>
    <w:rsid w:val="0020052C"/>
    <w:rsid w:val="00205B26"/>
    <w:rsid w:val="002211CB"/>
    <w:rsid w:val="002222A9"/>
    <w:rsid w:val="00230705"/>
    <w:rsid w:val="0023469E"/>
    <w:rsid w:val="00236394"/>
    <w:rsid w:val="00243EBE"/>
    <w:rsid w:val="00244606"/>
    <w:rsid w:val="002456A0"/>
    <w:rsid w:val="0025029C"/>
    <w:rsid w:val="002531CA"/>
    <w:rsid w:val="002576B4"/>
    <w:rsid w:val="00261C1B"/>
    <w:rsid w:val="002638DE"/>
    <w:rsid w:val="002653A9"/>
    <w:rsid w:val="00270A60"/>
    <w:rsid w:val="00270DAF"/>
    <w:rsid w:val="00271C49"/>
    <w:rsid w:val="00280615"/>
    <w:rsid w:val="00283E55"/>
    <w:rsid w:val="0029689F"/>
    <w:rsid w:val="0029715A"/>
    <w:rsid w:val="002A293C"/>
    <w:rsid w:val="002B2792"/>
    <w:rsid w:val="002B7758"/>
    <w:rsid w:val="002D4F4B"/>
    <w:rsid w:val="002E3CE5"/>
    <w:rsid w:val="0031168B"/>
    <w:rsid w:val="00314BED"/>
    <w:rsid w:val="00323D6F"/>
    <w:rsid w:val="00332679"/>
    <w:rsid w:val="00342FBF"/>
    <w:rsid w:val="00345E41"/>
    <w:rsid w:val="0035017E"/>
    <w:rsid w:val="003516E6"/>
    <w:rsid w:val="003620BF"/>
    <w:rsid w:val="0036510A"/>
    <w:rsid w:val="003668B7"/>
    <w:rsid w:val="00367643"/>
    <w:rsid w:val="00380976"/>
    <w:rsid w:val="00380E9E"/>
    <w:rsid w:val="003843FA"/>
    <w:rsid w:val="003849F5"/>
    <w:rsid w:val="00385A25"/>
    <w:rsid w:val="00386243"/>
    <w:rsid w:val="00396A25"/>
    <w:rsid w:val="00396D9D"/>
    <w:rsid w:val="003A0F72"/>
    <w:rsid w:val="003B11B2"/>
    <w:rsid w:val="003B1C34"/>
    <w:rsid w:val="003B5BB1"/>
    <w:rsid w:val="003C2DF3"/>
    <w:rsid w:val="003D619A"/>
    <w:rsid w:val="003D6B65"/>
    <w:rsid w:val="003E06B2"/>
    <w:rsid w:val="003E1C7B"/>
    <w:rsid w:val="003E4AA0"/>
    <w:rsid w:val="003E6D0A"/>
    <w:rsid w:val="003E7EC7"/>
    <w:rsid w:val="003F351B"/>
    <w:rsid w:val="00400447"/>
    <w:rsid w:val="00403868"/>
    <w:rsid w:val="00405C04"/>
    <w:rsid w:val="0040603D"/>
    <w:rsid w:val="00416D84"/>
    <w:rsid w:val="0042310B"/>
    <w:rsid w:val="004378A9"/>
    <w:rsid w:val="00441179"/>
    <w:rsid w:val="004607F1"/>
    <w:rsid w:val="00465A29"/>
    <w:rsid w:val="004667FE"/>
    <w:rsid w:val="00476DAB"/>
    <w:rsid w:val="00477F74"/>
    <w:rsid w:val="0048262D"/>
    <w:rsid w:val="0048750C"/>
    <w:rsid w:val="00494903"/>
    <w:rsid w:val="004971F7"/>
    <w:rsid w:val="004A78E6"/>
    <w:rsid w:val="004B2F21"/>
    <w:rsid w:val="004B3BA4"/>
    <w:rsid w:val="004B7056"/>
    <w:rsid w:val="004B713B"/>
    <w:rsid w:val="004C02BE"/>
    <w:rsid w:val="004C0A21"/>
    <w:rsid w:val="004D0E5A"/>
    <w:rsid w:val="004D4674"/>
    <w:rsid w:val="004E2F3B"/>
    <w:rsid w:val="004E372D"/>
    <w:rsid w:val="004F7E8C"/>
    <w:rsid w:val="00500FF1"/>
    <w:rsid w:val="005017D2"/>
    <w:rsid w:val="0051108A"/>
    <w:rsid w:val="00516560"/>
    <w:rsid w:val="00520F47"/>
    <w:rsid w:val="005253C1"/>
    <w:rsid w:val="00527363"/>
    <w:rsid w:val="005273C6"/>
    <w:rsid w:val="005349E5"/>
    <w:rsid w:val="00537698"/>
    <w:rsid w:val="00541792"/>
    <w:rsid w:val="005448E9"/>
    <w:rsid w:val="0054646D"/>
    <w:rsid w:val="00547778"/>
    <w:rsid w:val="00552BE9"/>
    <w:rsid w:val="0055421E"/>
    <w:rsid w:val="00556C06"/>
    <w:rsid w:val="005575DE"/>
    <w:rsid w:val="0056084C"/>
    <w:rsid w:val="00560A57"/>
    <w:rsid w:val="005736E0"/>
    <w:rsid w:val="00573A85"/>
    <w:rsid w:val="00584D36"/>
    <w:rsid w:val="00590240"/>
    <w:rsid w:val="0059639E"/>
    <w:rsid w:val="00596F5E"/>
    <w:rsid w:val="005A6A23"/>
    <w:rsid w:val="005B0827"/>
    <w:rsid w:val="005B1C74"/>
    <w:rsid w:val="005C0D86"/>
    <w:rsid w:val="005C20E6"/>
    <w:rsid w:val="005C7E19"/>
    <w:rsid w:val="005D1071"/>
    <w:rsid w:val="005D7700"/>
    <w:rsid w:val="00601A17"/>
    <w:rsid w:val="00602270"/>
    <w:rsid w:val="00602D3B"/>
    <w:rsid w:val="00602E21"/>
    <w:rsid w:val="00604276"/>
    <w:rsid w:val="006062F8"/>
    <w:rsid w:val="00615520"/>
    <w:rsid w:val="00616760"/>
    <w:rsid w:val="0061753F"/>
    <w:rsid w:val="00624CA4"/>
    <w:rsid w:val="00626811"/>
    <w:rsid w:val="006319B5"/>
    <w:rsid w:val="00631B3B"/>
    <w:rsid w:val="00632677"/>
    <w:rsid w:val="006332F9"/>
    <w:rsid w:val="00640299"/>
    <w:rsid w:val="00643D0D"/>
    <w:rsid w:val="0064755B"/>
    <w:rsid w:val="006521F3"/>
    <w:rsid w:val="0065650A"/>
    <w:rsid w:val="00660C85"/>
    <w:rsid w:val="0067330A"/>
    <w:rsid w:val="00675EFC"/>
    <w:rsid w:val="00685DB8"/>
    <w:rsid w:val="00690125"/>
    <w:rsid w:val="0069095C"/>
    <w:rsid w:val="006A051F"/>
    <w:rsid w:val="006A170E"/>
    <w:rsid w:val="006A2897"/>
    <w:rsid w:val="006A34E9"/>
    <w:rsid w:val="006B4183"/>
    <w:rsid w:val="006B7B66"/>
    <w:rsid w:val="006C1A64"/>
    <w:rsid w:val="006C342F"/>
    <w:rsid w:val="006D209F"/>
    <w:rsid w:val="006D7605"/>
    <w:rsid w:val="006E385C"/>
    <w:rsid w:val="006E5D0A"/>
    <w:rsid w:val="006F107C"/>
    <w:rsid w:val="006F1391"/>
    <w:rsid w:val="006F30B3"/>
    <w:rsid w:val="006F3194"/>
    <w:rsid w:val="006F4627"/>
    <w:rsid w:val="006F55E1"/>
    <w:rsid w:val="00703B24"/>
    <w:rsid w:val="00716CA3"/>
    <w:rsid w:val="00720C2A"/>
    <w:rsid w:val="0072637D"/>
    <w:rsid w:val="00743E83"/>
    <w:rsid w:val="0074447D"/>
    <w:rsid w:val="00746689"/>
    <w:rsid w:val="007514D9"/>
    <w:rsid w:val="00753BE1"/>
    <w:rsid w:val="00754D98"/>
    <w:rsid w:val="00756260"/>
    <w:rsid w:val="00775BEF"/>
    <w:rsid w:val="00777C7C"/>
    <w:rsid w:val="007837A3"/>
    <w:rsid w:val="007841F6"/>
    <w:rsid w:val="00784C94"/>
    <w:rsid w:val="00787377"/>
    <w:rsid w:val="00792BF9"/>
    <w:rsid w:val="00796236"/>
    <w:rsid w:val="007A1466"/>
    <w:rsid w:val="007B1A27"/>
    <w:rsid w:val="007B6D58"/>
    <w:rsid w:val="007C086B"/>
    <w:rsid w:val="007D1921"/>
    <w:rsid w:val="007D2505"/>
    <w:rsid w:val="007E4906"/>
    <w:rsid w:val="007E5CCD"/>
    <w:rsid w:val="007F7F1A"/>
    <w:rsid w:val="008018B6"/>
    <w:rsid w:val="00803B89"/>
    <w:rsid w:val="00805EF1"/>
    <w:rsid w:val="00814BBD"/>
    <w:rsid w:val="00816A63"/>
    <w:rsid w:val="00825C3C"/>
    <w:rsid w:val="00827889"/>
    <w:rsid w:val="00837C23"/>
    <w:rsid w:val="008404CD"/>
    <w:rsid w:val="008453A3"/>
    <w:rsid w:val="00850874"/>
    <w:rsid w:val="00853565"/>
    <w:rsid w:val="008641DB"/>
    <w:rsid w:val="00873D2C"/>
    <w:rsid w:val="00887169"/>
    <w:rsid w:val="008902E9"/>
    <w:rsid w:val="00892AB6"/>
    <w:rsid w:val="0089696F"/>
    <w:rsid w:val="008A00A0"/>
    <w:rsid w:val="008A2484"/>
    <w:rsid w:val="008A3A1C"/>
    <w:rsid w:val="008A45F9"/>
    <w:rsid w:val="008A6253"/>
    <w:rsid w:val="008A756F"/>
    <w:rsid w:val="008C2D6E"/>
    <w:rsid w:val="008C5C81"/>
    <w:rsid w:val="008C7DAB"/>
    <w:rsid w:val="008D1860"/>
    <w:rsid w:val="008E3F81"/>
    <w:rsid w:val="008F2125"/>
    <w:rsid w:val="008F3F2F"/>
    <w:rsid w:val="008F65E6"/>
    <w:rsid w:val="00911B38"/>
    <w:rsid w:val="009172D1"/>
    <w:rsid w:val="00917735"/>
    <w:rsid w:val="00925651"/>
    <w:rsid w:val="00925975"/>
    <w:rsid w:val="00925A2D"/>
    <w:rsid w:val="00931BB9"/>
    <w:rsid w:val="009350F2"/>
    <w:rsid w:val="00935D5C"/>
    <w:rsid w:val="00936A98"/>
    <w:rsid w:val="0094089C"/>
    <w:rsid w:val="009431E5"/>
    <w:rsid w:val="00943CFE"/>
    <w:rsid w:val="00970A1F"/>
    <w:rsid w:val="00986FD9"/>
    <w:rsid w:val="00993BCE"/>
    <w:rsid w:val="009B13C1"/>
    <w:rsid w:val="009B5B1B"/>
    <w:rsid w:val="009B7E78"/>
    <w:rsid w:val="009C3133"/>
    <w:rsid w:val="009C3EF8"/>
    <w:rsid w:val="009C5725"/>
    <w:rsid w:val="009D0A60"/>
    <w:rsid w:val="009D60EE"/>
    <w:rsid w:val="009D748E"/>
    <w:rsid w:val="009E48DD"/>
    <w:rsid w:val="009E5F83"/>
    <w:rsid w:val="009E6D21"/>
    <w:rsid w:val="009F2DA2"/>
    <w:rsid w:val="009F7CE5"/>
    <w:rsid w:val="00A00E6B"/>
    <w:rsid w:val="00A01F18"/>
    <w:rsid w:val="00A21B0C"/>
    <w:rsid w:val="00A22C8F"/>
    <w:rsid w:val="00A2673A"/>
    <w:rsid w:val="00A32EA9"/>
    <w:rsid w:val="00A46488"/>
    <w:rsid w:val="00A508F8"/>
    <w:rsid w:val="00A509E6"/>
    <w:rsid w:val="00A51AB1"/>
    <w:rsid w:val="00A531B1"/>
    <w:rsid w:val="00A53A2E"/>
    <w:rsid w:val="00A56293"/>
    <w:rsid w:val="00A6242C"/>
    <w:rsid w:val="00A70155"/>
    <w:rsid w:val="00A73385"/>
    <w:rsid w:val="00A75851"/>
    <w:rsid w:val="00A76146"/>
    <w:rsid w:val="00A76A21"/>
    <w:rsid w:val="00A80592"/>
    <w:rsid w:val="00AA4789"/>
    <w:rsid w:val="00AB2C66"/>
    <w:rsid w:val="00AC2CAE"/>
    <w:rsid w:val="00AC38E2"/>
    <w:rsid w:val="00AC7828"/>
    <w:rsid w:val="00AD53C2"/>
    <w:rsid w:val="00AE1041"/>
    <w:rsid w:val="00AE1C16"/>
    <w:rsid w:val="00AE3C9F"/>
    <w:rsid w:val="00AF3612"/>
    <w:rsid w:val="00B04D89"/>
    <w:rsid w:val="00B10457"/>
    <w:rsid w:val="00B109C1"/>
    <w:rsid w:val="00B11F61"/>
    <w:rsid w:val="00B160EC"/>
    <w:rsid w:val="00B23570"/>
    <w:rsid w:val="00B3479F"/>
    <w:rsid w:val="00B3668F"/>
    <w:rsid w:val="00B44C4F"/>
    <w:rsid w:val="00B471F8"/>
    <w:rsid w:val="00B52AAC"/>
    <w:rsid w:val="00B60895"/>
    <w:rsid w:val="00B63A5E"/>
    <w:rsid w:val="00B71E18"/>
    <w:rsid w:val="00B72A0A"/>
    <w:rsid w:val="00B83E18"/>
    <w:rsid w:val="00B91431"/>
    <w:rsid w:val="00B928B1"/>
    <w:rsid w:val="00B97C62"/>
    <w:rsid w:val="00BA0CA3"/>
    <w:rsid w:val="00BA2C87"/>
    <w:rsid w:val="00BA6680"/>
    <w:rsid w:val="00BB6BEA"/>
    <w:rsid w:val="00BD26B4"/>
    <w:rsid w:val="00BD2A9F"/>
    <w:rsid w:val="00BE262C"/>
    <w:rsid w:val="00BE6B46"/>
    <w:rsid w:val="00BE7220"/>
    <w:rsid w:val="00BF2564"/>
    <w:rsid w:val="00C10065"/>
    <w:rsid w:val="00C12010"/>
    <w:rsid w:val="00C219F9"/>
    <w:rsid w:val="00C26C41"/>
    <w:rsid w:val="00C26D01"/>
    <w:rsid w:val="00C302D0"/>
    <w:rsid w:val="00C30D1E"/>
    <w:rsid w:val="00C34860"/>
    <w:rsid w:val="00C41E55"/>
    <w:rsid w:val="00C45D54"/>
    <w:rsid w:val="00C518DB"/>
    <w:rsid w:val="00C54ADB"/>
    <w:rsid w:val="00C558DF"/>
    <w:rsid w:val="00C57A34"/>
    <w:rsid w:val="00C629AF"/>
    <w:rsid w:val="00C727F7"/>
    <w:rsid w:val="00C770A5"/>
    <w:rsid w:val="00C877CD"/>
    <w:rsid w:val="00C9333C"/>
    <w:rsid w:val="00C9414F"/>
    <w:rsid w:val="00C96BFF"/>
    <w:rsid w:val="00CA7E3D"/>
    <w:rsid w:val="00CB1D71"/>
    <w:rsid w:val="00CB2D78"/>
    <w:rsid w:val="00CB32ED"/>
    <w:rsid w:val="00CC07D8"/>
    <w:rsid w:val="00CC4A3E"/>
    <w:rsid w:val="00CC5884"/>
    <w:rsid w:val="00CC7021"/>
    <w:rsid w:val="00CD03DA"/>
    <w:rsid w:val="00CD14DD"/>
    <w:rsid w:val="00CD7B75"/>
    <w:rsid w:val="00CF0B62"/>
    <w:rsid w:val="00CF1C82"/>
    <w:rsid w:val="00CF6507"/>
    <w:rsid w:val="00D009CE"/>
    <w:rsid w:val="00D03D04"/>
    <w:rsid w:val="00D122DC"/>
    <w:rsid w:val="00D259A3"/>
    <w:rsid w:val="00D27D31"/>
    <w:rsid w:val="00D4492C"/>
    <w:rsid w:val="00D545D5"/>
    <w:rsid w:val="00D575E0"/>
    <w:rsid w:val="00D66255"/>
    <w:rsid w:val="00D7507B"/>
    <w:rsid w:val="00D751F6"/>
    <w:rsid w:val="00D82693"/>
    <w:rsid w:val="00D87359"/>
    <w:rsid w:val="00D874F1"/>
    <w:rsid w:val="00D913C5"/>
    <w:rsid w:val="00D91BBD"/>
    <w:rsid w:val="00D94B17"/>
    <w:rsid w:val="00D971BB"/>
    <w:rsid w:val="00DA21E7"/>
    <w:rsid w:val="00DA461D"/>
    <w:rsid w:val="00DB0150"/>
    <w:rsid w:val="00DB2169"/>
    <w:rsid w:val="00DD03AE"/>
    <w:rsid w:val="00DE1CF4"/>
    <w:rsid w:val="00DE67F2"/>
    <w:rsid w:val="00DF055C"/>
    <w:rsid w:val="00DF2CB8"/>
    <w:rsid w:val="00DF57FF"/>
    <w:rsid w:val="00E1625A"/>
    <w:rsid w:val="00E17500"/>
    <w:rsid w:val="00E263B3"/>
    <w:rsid w:val="00E26B09"/>
    <w:rsid w:val="00E31303"/>
    <w:rsid w:val="00E341E8"/>
    <w:rsid w:val="00E40201"/>
    <w:rsid w:val="00E50838"/>
    <w:rsid w:val="00E548F9"/>
    <w:rsid w:val="00E55AF4"/>
    <w:rsid w:val="00E621F9"/>
    <w:rsid w:val="00E63535"/>
    <w:rsid w:val="00E7513A"/>
    <w:rsid w:val="00E760AB"/>
    <w:rsid w:val="00E827F3"/>
    <w:rsid w:val="00E82C3B"/>
    <w:rsid w:val="00E84632"/>
    <w:rsid w:val="00E847A4"/>
    <w:rsid w:val="00E879B6"/>
    <w:rsid w:val="00EA0539"/>
    <w:rsid w:val="00EA05B2"/>
    <w:rsid w:val="00EA09B4"/>
    <w:rsid w:val="00EC36D9"/>
    <w:rsid w:val="00EE0FB8"/>
    <w:rsid w:val="00F0152F"/>
    <w:rsid w:val="00F02354"/>
    <w:rsid w:val="00F02F31"/>
    <w:rsid w:val="00F04C77"/>
    <w:rsid w:val="00F14A3F"/>
    <w:rsid w:val="00F15F43"/>
    <w:rsid w:val="00F2094C"/>
    <w:rsid w:val="00F20E91"/>
    <w:rsid w:val="00F21F62"/>
    <w:rsid w:val="00F240A9"/>
    <w:rsid w:val="00F33D0D"/>
    <w:rsid w:val="00F42030"/>
    <w:rsid w:val="00F4452B"/>
    <w:rsid w:val="00F47299"/>
    <w:rsid w:val="00F5273D"/>
    <w:rsid w:val="00F52865"/>
    <w:rsid w:val="00F53E88"/>
    <w:rsid w:val="00F601B5"/>
    <w:rsid w:val="00F61B9F"/>
    <w:rsid w:val="00F61DB6"/>
    <w:rsid w:val="00F63508"/>
    <w:rsid w:val="00F63539"/>
    <w:rsid w:val="00F81C76"/>
    <w:rsid w:val="00F92EE9"/>
    <w:rsid w:val="00F95AE4"/>
    <w:rsid w:val="00FA5D27"/>
    <w:rsid w:val="00FB1024"/>
    <w:rsid w:val="00FB1DB9"/>
    <w:rsid w:val="00FB247B"/>
    <w:rsid w:val="00FB322B"/>
    <w:rsid w:val="00FB6D5E"/>
    <w:rsid w:val="00FC3E7A"/>
    <w:rsid w:val="00FC7432"/>
    <w:rsid w:val="00FF0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E597F85-A609-44F4-A090-586428892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AC2CAE"/>
  </w:style>
  <w:style w:type="paragraph" w:customStyle="1" w:styleId="Contedodatabela">
    <w:name w:val="Conteúdo da tabela"/>
    <w:basedOn w:val="Normal"/>
    <w:rsid w:val="00626811"/>
    <w:pPr>
      <w:suppressLineNumbers/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" TargetMode="External"/><Relationship Id="rId18" Type="http://schemas.openxmlformats.org/officeDocument/2006/relationships/hyperlink" Target="javascript:void(0)" TargetMode="External"/><Relationship Id="rId26" Type="http://schemas.openxmlformats.org/officeDocument/2006/relationships/hyperlink" Target="javascript:void(0)" TargetMode="External"/><Relationship Id="rId39" Type="http://schemas.openxmlformats.org/officeDocument/2006/relationships/header" Target="header1.xml"/><Relationship Id="rId21" Type="http://schemas.openxmlformats.org/officeDocument/2006/relationships/hyperlink" Target="javascript:void(0)" TargetMode="External"/><Relationship Id="rId34" Type="http://schemas.openxmlformats.org/officeDocument/2006/relationships/hyperlink" Target="javascript:void(0)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javascript:void(0)" TargetMode="External"/><Relationship Id="rId20" Type="http://schemas.openxmlformats.org/officeDocument/2006/relationships/hyperlink" Target="javascript:void(0)" TargetMode="External"/><Relationship Id="rId29" Type="http://schemas.openxmlformats.org/officeDocument/2006/relationships/hyperlink" Target="javascript:void(0)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void(0)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javascript:void(0)" TargetMode="External"/><Relationship Id="rId40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javascript:void(0)" TargetMode="External"/><Relationship Id="rId23" Type="http://schemas.openxmlformats.org/officeDocument/2006/relationships/hyperlink" Target="javascript:void(0)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10" Type="http://schemas.openxmlformats.org/officeDocument/2006/relationships/hyperlink" Target="javascript:void(0)" TargetMode="External"/><Relationship Id="rId19" Type="http://schemas.openxmlformats.org/officeDocument/2006/relationships/hyperlink" Target="javascript:void(0)" TargetMode="External"/><Relationship Id="rId31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Relationship Id="rId14" Type="http://schemas.openxmlformats.org/officeDocument/2006/relationships/hyperlink" Target="javascript:void(0)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javascript:void(0)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javascript:void(0)" TargetMode="External"/><Relationship Id="rId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hyperlink" Target="javascript:void(0)" TargetMode="External"/><Relationship Id="rId17" Type="http://schemas.openxmlformats.org/officeDocument/2006/relationships/hyperlink" Target="javascript:void(0)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hyperlink" Target="javascript:void(0)" TargetMode="External"/><Relationship Id="rId38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AEDE2-A390-4B58-8999-716D440B1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4718</Words>
  <Characters>25480</Characters>
  <Application>Microsoft Office Word</Application>
  <DocSecurity>0</DocSecurity>
  <Lines>212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Amanda Teixeira Melo</cp:lastModifiedBy>
  <cp:revision>4</cp:revision>
  <cp:lastPrinted>2019-03-19T11:06:00Z</cp:lastPrinted>
  <dcterms:created xsi:type="dcterms:W3CDTF">2020-01-24T15:42:00Z</dcterms:created>
  <dcterms:modified xsi:type="dcterms:W3CDTF">2020-01-29T13:47:00Z</dcterms:modified>
</cp:coreProperties>
</file>