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AB20CC" w:rsidRDefault="001E779E" w:rsidP="00AB20CC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716AC4" w:rsidRPr="00716AC4">
        <w:rPr>
          <w:rFonts w:ascii="Arial" w:hAnsi="Arial" w:cs="Arial"/>
          <w:b/>
          <w:szCs w:val="24"/>
          <w:lang w:eastAsia="en-US"/>
        </w:rPr>
        <w:t>5 scanner de mesa</w:t>
      </w:r>
      <w:r w:rsidR="0072653D" w:rsidRPr="0072653D">
        <w:rPr>
          <w:rFonts w:ascii="Arial" w:hAnsi="Arial" w:cs="Arial"/>
          <w:b/>
          <w:sz w:val="22"/>
          <w:szCs w:val="22"/>
          <w:lang w:eastAsia="en-US"/>
        </w:rPr>
        <w:t>,</w:t>
      </w:r>
      <w:r w:rsidR="001B114F" w:rsidRPr="0072653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2653D">
        <w:rPr>
          <w:rFonts w:ascii="Arial" w:hAnsi="Arial" w:cs="Arial"/>
          <w:sz w:val="22"/>
          <w:szCs w:val="22"/>
        </w:rPr>
        <w:t>c</w:t>
      </w:r>
      <w:r w:rsidRPr="004C64C3">
        <w:rPr>
          <w:rFonts w:ascii="Arial" w:hAnsi="Arial" w:cs="Arial"/>
          <w:sz w:val="22"/>
          <w:szCs w:val="22"/>
        </w:rPr>
        <w:t xml:space="preserve">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992"/>
        <w:gridCol w:w="1276"/>
        <w:gridCol w:w="1701"/>
      </w:tblGrid>
      <w:tr w:rsidR="00716AC4" w:rsidRPr="00716AC4" w:rsidTr="00716AC4">
        <w:tc>
          <w:tcPr>
            <w:tcW w:w="851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119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34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992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276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701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716AC4" w:rsidRPr="00716AC4" w:rsidTr="00716AC4">
        <w:trPr>
          <w:trHeight w:val="1212"/>
        </w:trPr>
        <w:tc>
          <w:tcPr>
            <w:tcW w:w="851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16AC4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119" w:type="dxa"/>
            <w:vAlign w:val="center"/>
          </w:tcPr>
          <w:p w:rsidR="001E779E" w:rsidRPr="00716AC4" w:rsidRDefault="00716AC4" w:rsidP="001B11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  <w:lang w:eastAsia="en-US"/>
              </w:rPr>
              <w:t>Scanner de mesa com porta USB.</w:t>
            </w:r>
          </w:p>
        </w:tc>
        <w:tc>
          <w:tcPr>
            <w:tcW w:w="1134" w:type="dxa"/>
            <w:vAlign w:val="center"/>
          </w:tcPr>
          <w:p w:rsidR="001E779E" w:rsidRPr="00716AC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992" w:type="dxa"/>
            <w:vAlign w:val="center"/>
          </w:tcPr>
          <w:p w:rsidR="001E779E" w:rsidRPr="00716AC4" w:rsidRDefault="00716AC4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716AC4" w:rsidRPr="00716AC4" w:rsidRDefault="001E779E" w:rsidP="00716AC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</w:rPr>
              <w:t>R$</w:t>
            </w:r>
            <w:r w:rsidR="00716AC4" w:rsidRPr="00716AC4">
              <w:rPr>
                <w:rFonts w:ascii="Arial" w:hAnsi="Arial" w:cs="Arial"/>
                <w:sz w:val="20"/>
              </w:rPr>
              <w:t>404,96</w:t>
            </w:r>
          </w:p>
          <w:p w:rsidR="001E779E" w:rsidRPr="00716AC4" w:rsidRDefault="00716AC4" w:rsidP="00716AC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</w:rPr>
              <w:t>(Quatrocentos e quatro reais e noventa e seis centavos).</w:t>
            </w:r>
          </w:p>
        </w:tc>
        <w:tc>
          <w:tcPr>
            <w:tcW w:w="1701" w:type="dxa"/>
            <w:vAlign w:val="center"/>
          </w:tcPr>
          <w:p w:rsidR="00716AC4" w:rsidRPr="00716AC4" w:rsidRDefault="00716AC4" w:rsidP="00716AC4">
            <w:pPr>
              <w:pStyle w:val="SemEspaamento"/>
              <w:spacing w:line="360" w:lineRule="auto"/>
              <w:ind w:right="191"/>
              <w:jc w:val="both"/>
              <w:rPr>
                <w:rFonts w:ascii="Arial" w:hAnsi="Arial" w:cs="Arial"/>
                <w:sz w:val="20"/>
              </w:rPr>
            </w:pPr>
            <w:r w:rsidRPr="00716AC4">
              <w:rPr>
                <w:rFonts w:ascii="Arial" w:hAnsi="Arial" w:cs="Arial"/>
                <w:sz w:val="20"/>
              </w:rPr>
              <w:t>R$2.024,80 (Dois mil, vinte quatro reais e oitenta centavos).</w:t>
            </w:r>
          </w:p>
          <w:p w:rsidR="001E779E" w:rsidRPr="00716AC4" w:rsidRDefault="001E779E" w:rsidP="0060323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DF4D53" w:rsidRDefault="00DF4D53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716AC4">
        <w:rPr>
          <w:rFonts w:ascii="Arial" w:hAnsi="Arial" w:cs="Arial"/>
          <w:sz w:val="22"/>
          <w:szCs w:val="22"/>
        </w:rPr>
        <w:t>O presente pleito visa atender o posto de atendimento para realizar o serviço diária de forma manual, diminuindo assim o número de gastos de papeis e de espaço de salvaguardar esses documentos.</w:t>
      </w:r>
    </w:p>
    <w:p w:rsidR="00DF4D53" w:rsidRDefault="00DF4D53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lastRenderedPageBreak/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1.1</w:t>
      </w:r>
      <w:r w:rsidR="00F96ECD">
        <w:rPr>
          <w:rFonts w:ascii="Arial" w:hAnsi="Arial" w:cs="Arial"/>
          <w:b/>
          <w:i/>
          <w:sz w:val="22"/>
          <w:szCs w:val="22"/>
        </w:rPr>
        <w:t xml:space="preserve"> 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DF4D53" w:rsidRPr="00516A49" w:rsidRDefault="00DF4D53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r w:rsidR="001B114F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DF4D53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60323A">
        <w:rPr>
          <w:rFonts w:ascii="Arial" w:hAnsi="Arial" w:cs="Arial"/>
          <w:sz w:val="22"/>
          <w:szCs w:val="22"/>
        </w:rPr>
        <w:t xml:space="preserve">23 </w:t>
      </w:r>
      <w:r w:rsidR="001B114F">
        <w:rPr>
          <w:rFonts w:ascii="Arial" w:hAnsi="Arial" w:cs="Arial"/>
          <w:sz w:val="22"/>
          <w:szCs w:val="22"/>
        </w:rPr>
        <w:t xml:space="preserve">de </w:t>
      </w:r>
      <w:r w:rsidR="0060323A">
        <w:rPr>
          <w:rFonts w:ascii="Arial" w:hAnsi="Arial" w:cs="Arial"/>
          <w:sz w:val="22"/>
          <w:szCs w:val="22"/>
        </w:rPr>
        <w:t>Janeiro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60323A">
        <w:rPr>
          <w:rFonts w:ascii="Arial" w:hAnsi="Arial" w:cs="Arial"/>
          <w:sz w:val="22"/>
          <w:szCs w:val="22"/>
        </w:rPr>
        <w:t>2020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0323A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DANIELA INÊS DOS SANTOS PESSOA</w:t>
      </w:r>
    </w:p>
    <w:p w:rsidR="0077020E" w:rsidRDefault="0077020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Mat. 939920-8/ SMTT</w:t>
      </w:r>
      <w:bookmarkStart w:id="0" w:name="_GoBack"/>
      <w:bookmarkEnd w:id="0"/>
    </w:p>
    <w:p w:rsidR="0068738E" w:rsidRPr="007303A0" w:rsidRDefault="0060323A" w:rsidP="00687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Departamento de Compras</w:t>
      </w:r>
    </w:p>
    <w:sectPr w:rsidR="0068738E" w:rsidRPr="007303A0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09" w:rsidRDefault="00012D09" w:rsidP="00CD25DE">
      <w:r>
        <w:separator/>
      </w:r>
    </w:p>
  </w:endnote>
  <w:endnote w:type="continuationSeparator" w:id="0">
    <w:p w:rsidR="00012D09" w:rsidRDefault="00012D09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77020E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09" w:rsidRDefault="00012D09" w:rsidP="00CD25DE">
      <w:r>
        <w:separator/>
      </w:r>
    </w:p>
  </w:footnote>
  <w:footnote w:type="continuationSeparator" w:id="0">
    <w:p w:rsidR="00012D09" w:rsidRDefault="00012D09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2D09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93F7D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114F"/>
    <w:rsid w:val="001B4EB2"/>
    <w:rsid w:val="001C1C6C"/>
    <w:rsid w:val="001D4EB9"/>
    <w:rsid w:val="001E779E"/>
    <w:rsid w:val="0020338E"/>
    <w:rsid w:val="002141E2"/>
    <w:rsid w:val="002144C8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1F8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5E9E"/>
    <w:rsid w:val="00344449"/>
    <w:rsid w:val="0035223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0323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16AC4"/>
    <w:rsid w:val="00725AD1"/>
    <w:rsid w:val="0072653D"/>
    <w:rsid w:val="007303A0"/>
    <w:rsid w:val="007309FE"/>
    <w:rsid w:val="0075316C"/>
    <w:rsid w:val="00754155"/>
    <w:rsid w:val="00757C57"/>
    <w:rsid w:val="0077020E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3F5F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903B3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20CC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12E0"/>
    <w:rsid w:val="00DB212D"/>
    <w:rsid w:val="00DD3933"/>
    <w:rsid w:val="00DD5B6B"/>
    <w:rsid w:val="00DD6735"/>
    <w:rsid w:val="00DD7EAC"/>
    <w:rsid w:val="00DE7271"/>
    <w:rsid w:val="00DF440F"/>
    <w:rsid w:val="00DF4D53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EF24A3"/>
    <w:rsid w:val="00F167FA"/>
    <w:rsid w:val="00F24DCB"/>
    <w:rsid w:val="00F27893"/>
    <w:rsid w:val="00F33607"/>
    <w:rsid w:val="00F41EDD"/>
    <w:rsid w:val="00F50895"/>
    <w:rsid w:val="00F60DCD"/>
    <w:rsid w:val="00F96E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92B9360-E30F-4343-B4B3-8EDDBF0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AEB2-F922-4203-8525-CC23CA1E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3</cp:revision>
  <cp:lastPrinted>2020-01-23T13:43:00Z</cp:lastPrinted>
  <dcterms:created xsi:type="dcterms:W3CDTF">2020-01-23T13:43:00Z</dcterms:created>
  <dcterms:modified xsi:type="dcterms:W3CDTF">2020-01-29T16:19:00Z</dcterms:modified>
</cp:coreProperties>
</file>