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AB20CC" w:rsidRDefault="001E779E" w:rsidP="00AB20CC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72653D" w:rsidRPr="0072653D">
        <w:rPr>
          <w:rFonts w:ascii="Arial" w:hAnsi="Arial" w:cs="Arial"/>
          <w:b/>
          <w:sz w:val="22"/>
          <w:szCs w:val="22"/>
          <w:lang w:eastAsia="en-US"/>
        </w:rPr>
        <w:t>Colchões de solteiro, com densidade; 33, comprimento 1,88cm, largura de 0,88, altura 14cm,</w:t>
      </w:r>
      <w:r w:rsidR="001B114F" w:rsidRPr="0072653D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2653D">
        <w:rPr>
          <w:rFonts w:ascii="Arial" w:hAnsi="Arial" w:cs="Arial"/>
          <w:sz w:val="22"/>
          <w:szCs w:val="22"/>
        </w:rPr>
        <w:t>c</w:t>
      </w:r>
      <w:r w:rsidRPr="004C64C3">
        <w:rPr>
          <w:rFonts w:ascii="Arial" w:hAnsi="Arial" w:cs="Arial"/>
          <w:sz w:val="22"/>
          <w:szCs w:val="22"/>
        </w:rPr>
        <w:t xml:space="preserve">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184"/>
        <w:gridCol w:w="1096"/>
        <w:gridCol w:w="1079"/>
        <w:gridCol w:w="1311"/>
        <w:gridCol w:w="1348"/>
      </w:tblGrid>
      <w:tr w:rsidR="001B114F" w:rsidRPr="00F27893" w:rsidTr="0072653D">
        <w:tc>
          <w:tcPr>
            <w:tcW w:w="70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184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09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07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11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B114F" w:rsidRPr="00F27893" w:rsidTr="0072653D">
        <w:trPr>
          <w:trHeight w:val="1212"/>
        </w:trPr>
        <w:tc>
          <w:tcPr>
            <w:tcW w:w="70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184" w:type="dxa"/>
            <w:vAlign w:val="center"/>
          </w:tcPr>
          <w:p w:rsidR="001E779E" w:rsidRPr="002D7FC7" w:rsidRDefault="0072653D" w:rsidP="001B114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Colchões de solteiro, com densidade; 33, comprimento, 1,88cm, largura de 0,88, altura 14cm.</w:t>
            </w:r>
          </w:p>
        </w:tc>
        <w:tc>
          <w:tcPr>
            <w:tcW w:w="109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079" w:type="dxa"/>
            <w:vAlign w:val="center"/>
          </w:tcPr>
          <w:p w:rsidR="001E779E" w:rsidRPr="00F27893" w:rsidRDefault="0060323A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311" w:type="dxa"/>
            <w:vAlign w:val="center"/>
          </w:tcPr>
          <w:p w:rsidR="001E779E" w:rsidRPr="00F27893" w:rsidRDefault="001E779E" w:rsidP="0060323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60323A">
              <w:rPr>
                <w:rFonts w:ascii="Arial" w:hAnsi="Arial" w:cs="Arial"/>
                <w:sz w:val="20"/>
              </w:rPr>
              <w:t>368,84</w:t>
            </w:r>
          </w:p>
        </w:tc>
        <w:tc>
          <w:tcPr>
            <w:tcW w:w="1348" w:type="dxa"/>
            <w:vAlign w:val="center"/>
          </w:tcPr>
          <w:p w:rsidR="001E779E" w:rsidRPr="00F27893" w:rsidRDefault="00DF4D53" w:rsidP="0060323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60323A">
              <w:rPr>
                <w:rFonts w:ascii="Arial" w:hAnsi="Arial" w:cs="Arial"/>
                <w:sz w:val="22"/>
                <w:szCs w:val="22"/>
              </w:rPr>
              <w:t>5532,62</w:t>
            </w:r>
            <w:r w:rsidR="0072653D" w:rsidRPr="005723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114F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DF4D53" w:rsidRDefault="00DF4D53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 xml:space="preserve">A presente aquisição tem </w:t>
      </w:r>
      <w:r w:rsidR="00AB20CC">
        <w:rPr>
          <w:rFonts w:ascii="Arial" w:hAnsi="Arial" w:cs="Arial"/>
          <w:sz w:val="22"/>
          <w:szCs w:val="22"/>
        </w:rPr>
        <w:t>com</w:t>
      </w:r>
      <w:r w:rsidRPr="00A151EC">
        <w:rPr>
          <w:rFonts w:ascii="Arial" w:hAnsi="Arial" w:cs="Arial"/>
          <w:sz w:val="22"/>
          <w:szCs w:val="22"/>
        </w:rPr>
        <w:t>o objetivo</w:t>
      </w:r>
      <w:r w:rsidR="00AB20CC">
        <w:rPr>
          <w:rFonts w:ascii="Arial" w:hAnsi="Arial" w:cs="Arial"/>
          <w:sz w:val="22"/>
          <w:szCs w:val="22"/>
        </w:rPr>
        <w:t xml:space="preserve"> de oferecer </w:t>
      </w:r>
      <w:r w:rsidR="0072653D">
        <w:rPr>
          <w:rFonts w:ascii="Arial" w:hAnsi="Arial" w:cs="Arial"/>
          <w:sz w:val="22"/>
          <w:szCs w:val="22"/>
        </w:rPr>
        <w:t>um momento de descanso aos Agentes de Fiscalização de trânsito desta Secretaria que laboram em regime de escala de serviço de 24 horas por 72 horas.</w:t>
      </w:r>
    </w:p>
    <w:p w:rsidR="00DF4D53" w:rsidRDefault="00DF4D53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1.1</w:t>
      </w:r>
      <w:r w:rsidR="00F96ECD">
        <w:rPr>
          <w:rFonts w:ascii="Arial" w:hAnsi="Arial" w:cs="Arial"/>
          <w:b/>
          <w:i/>
          <w:sz w:val="22"/>
          <w:szCs w:val="22"/>
        </w:rPr>
        <w:t xml:space="preserve"> 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DF4D53" w:rsidRPr="00516A49" w:rsidRDefault="00DF4D53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</w:t>
      </w:r>
      <w:r w:rsidR="001B114F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DF4D53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60323A">
        <w:rPr>
          <w:rFonts w:ascii="Arial" w:hAnsi="Arial" w:cs="Arial"/>
          <w:sz w:val="22"/>
          <w:szCs w:val="22"/>
        </w:rPr>
        <w:t xml:space="preserve">23 </w:t>
      </w:r>
      <w:r w:rsidR="001B114F">
        <w:rPr>
          <w:rFonts w:ascii="Arial" w:hAnsi="Arial" w:cs="Arial"/>
          <w:sz w:val="22"/>
          <w:szCs w:val="22"/>
        </w:rPr>
        <w:t xml:space="preserve">de </w:t>
      </w:r>
      <w:r w:rsidR="0060323A">
        <w:rPr>
          <w:rFonts w:ascii="Arial" w:hAnsi="Arial" w:cs="Arial"/>
          <w:sz w:val="22"/>
          <w:szCs w:val="22"/>
        </w:rPr>
        <w:t>Janeiro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60323A">
        <w:rPr>
          <w:rFonts w:ascii="Arial" w:hAnsi="Arial" w:cs="Arial"/>
          <w:sz w:val="22"/>
          <w:szCs w:val="22"/>
        </w:rPr>
        <w:t>2020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0323A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DANIELA INÊS DOS SANTOS PESSOA</w:t>
      </w:r>
    </w:p>
    <w:p w:rsidR="008776E7" w:rsidRDefault="008776E7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Mat. 939920-8/ SMTT</w:t>
      </w:r>
      <w:bookmarkStart w:id="0" w:name="_GoBack"/>
      <w:bookmarkEnd w:id="0"/>
    </w:p>
    <w:p w:rsidR="0068738E" w:rsidRPr="007303A0" w:rsidRDefault="0060323A" w:rsidP="006873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Departamento de Compras</w:t>
      </w:r>
    </w:p>
    <w:sectPr w:rsidR="0068738E" w:rsidRPr="007303A0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F0" w:rsidRDefault="000A4EF0" w:rsidP="00CD25DE">
      <w:r>
        <w:separator/>
      </w:r>
    </w:p>
  </w:endnote>
  <w:endnote w:type="continuationSeparator" w:id="0">
    <w:p w:rsidR="000A4EF0" w:rsidRDefault="000A4EF0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8776E7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F0" w:rsidRDefault="000A4EF0" w:rsidP="00CD25DE">
      <w:r>
        <w:separator/>
      </w:r>
    </w:p>
  </w:footnote>
  <w:footnote w:type="continuationSeparator" w:id="0">
    <w:p w:rsidR="000A4EF0" w:rsidRDefault="000A4EF0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A4EF0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114F"/>
    <w:rsid w:val="001B4EB2"/>
    <w:rsid w:val="001C1C6C"/>
    <w:rsid w:val="001D4EB9"/>
    <w:rsid w:val="001E779E"/>
    <w:rsid w:val="0020338E"/>
    <w:rsid w:val="002141E2"/>
    <w:rsid w:val="002144C8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1F8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5E9E"/>
    <w:rsid w:val="00344449"/>
    <w:rsid w:val="0035223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0323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2653D"/>
    <w:rsid w:val="007303A0"/>
    <w:rsid w:val="007309FE"/>
    <w:rsid w:val="0075316C"/>
    <w:rsid w:val="00754155"/>
    <w:rsid w:val="00757C57"/>
    <w:rsid w:val="00772094"/>
    <w:rsid w:val="00774430"/>
    <w:rsid w:val="00777349"/>
    <w:rsid w:val="007807EB"/>
    <w:rsid w:val="0079512A"/>
    <w:rsid w:val="007A1159"/>
    <w:rsid w:val="007D0EF1"/>
    <w:rsid w:val="007E205F"/>
    <w:rsid w:val="007F4531"/>
    <w:rsid w:val="007F593D"/>
    <w:rsid w:val="008200AC"/>
    <w:rsid w:val="00820D1B"/>
    <w:rsid w:val="00822703"/>
    <w:rsid w:val="008305E1"/>
    <w:rsid w:val="008371CB"/>
    <w:rsid w:val="0084594B"/>
    <w:rsid w:val="008508FD"/>
    <w:rsid w:val="008643AD"/>
    <w:rsid w:val="008776E7"/>
    <w:rsid w:val="00886642"/>
    <w:rsid w:val="008B1093"/>
    <w:rsid w:val="008B6557"/>
    <w:rsid w:val="008D13AB"/>
    <w:rsid w:val="008D2240"/>
    <w:rsid w:val="008D3F5F"/>
    <w:rsid w:val="008D6A2F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903B3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20CC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12E0"/>
    <w:rsid w:val="00DB212D"/>
    <w:rsid w:val="00DD3933"/>
    <w:rsid w:val="00DD5B6B"/>
    <w:rsid w:val="00DD6735"/>
    <w:rsid w:val="00DD7EAC"/>
    <w:rsid w:val="00DE7271"/>
    <w:rsid w:val="00DF440F"/>
    <w:rsid w:val="00DF4D53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EF24A3"/>
    <w:rsid w:val="00F167FA"/>
    <w:rsid w:val="00F24DCB"/>
    <w:rsid w:val="00F27893"/>
    <w:rsid w:val="00F33607"/>
    <w:rsid w:val="00F41EDD"/>
    <w:rsid w:val="00F50895"/>
    <w:rsid w:val="00F60DCD"/>
    <w:rsid w:val="00F96E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92B9360-E30F-4343-B4B3-8EDDBF0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FAB5-4AC9-4228-9827-D9B4BC90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1252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5</cp:revision>
  <cp:lastPrinted>2020-01-23T13:00:00Z</cp:lastPrinted>
  <dcterms:created xsi:type="dcterms:W3CDTF">2019-09-24T15:27:00Z</dcterms:created>
  <dcterms:modified xsi:type="dcterms:W3CDTF">2020-01-29T16:20:00Z</dcterms:modified>
</cp:coreProperties>
</file>