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65E" w:rsidRPr="00FE765E" w:rsidRDefault="00FE765E" w:rsidP="00FE765E">
      <w:pPr>
        <w:pBdr>
          <w:bottom w:val="single" w:sz="6" w:space="0" w:color="55774C"/>
        </w:pBdr>
        <w:shd w:val="clear" w:color="auto" w:fill="FFFFFF"/>
        <w:spacing w:before="150" w:after="150" w:line="240" w:lineRule="auto"/>
        <w:outlineLvl w:val="1"/>
        <w:rPr>
          <w:rFonts w:ascii="Arial Narrow" w:eastAsia="Times New Roman" w:hAnsi="Arial Narrow" w:cs="Times New Roman"/>
          <w:b/>
          <w:bCs/>
          <w:color w:val="55774C"/>
          <w:sz w:val="26"/>
          <w:szCs w:val="26"/>
          <w:lang w:eastAsia="pt-BR"/>
        </w:rPr>
      </w:pPr>
      <w:r w:rsidRPr="00FE765E">
        <w:rPr>
          <w:rFonts w:ascii="Arial Narrow" w:eastAsia="Times New Roman" w:hAnsi="Arial Narrow" w:cs="Times New Roman"/>
          <w:b/>
          <w:bCs/>
          <w:color w:val="55774C"/>
          <w:sz w:val="26"/>
          <w:szCs w:val="26"/>
          <w:lang w:eastAsia="pt-BR"/>
        </w:rPr>
        <w:t>Pregão Eletrônico</w:t>
      </w:r>
    </w:p>
    <w:tbl>
      <w:tblPr>
        <w:tblW w:w="5000" w:type="pct"/>
        <w:tblCellSpacing w:w="7" w:type="dxa"/>
        <w:shd w:val="clear" w:color="auto" w:fill="FFFFFF"/>
        <w:tblCellMar>
          <w:top w:w="30" w:type="dxa"/>
          <w:left w:w="30" w:type="dxa"/>
          <w:bottom w:w="30" w:type="dxa"/>
          <w:right w:w="30" w:type="dxa"/>
        </w:tblCellMar>
        <w:tblLook w:val="04A0" w:firstRow="1" w:lastRow="0" w:firstColumn="1" w:lastColumn="0" w:noHBand="0" w:noVBand="1"/>
      </w:tblPr>
      <w:tblGrid>
        <w:gridCol w:w="366"/>
        <w:gridCol w:w="2147"/>
        <w:gridCol w:w="2128"/>
        <w:gridCol w:w="2119"/>
        <w:gridCol w:w="2119"/>
      </w:tblGrid>
      <w:tr w:rsidR="00FE765E" w:rsidRPr="00FE765E" w:rsidTr="00FE765E">
        <w:trPr>
          <w:tblCellSpacing w:w="7" w:type="dxa"/>
        </w:trPr>
        <w:tc>
          <w:tcPr>
            <w:tcW w:w="345" w:type="dxa"/>
            <w:shd w:val="clear" w:color="auto" w:fill="FFFFFF"/>
            <w:hideMark/>
          </w:tcPr>
          <w:p w:rsidR="00FE765E" w:rsidRPr="00FE765E" w:rsidRDefault="00FE765E" w:rsidP="00FE765E">
            <w:pPr>
              <w:spacing w:after="0" w:line="240" w:lineRule="auto"/>
              <w:jc w:val="right"/>
              <w:rPr>
                <w:rFonts w:ascii="Verdana" w:eastAsia="Times New Roman" w:hAnsi="Verdana" w:cs="Times New Roman"/>
                <w:color w:val="000000"/>
                <w:sz w:val="17"/>
                <w:szCs w:val="17"/>
                <w:lang w:eastAsia="pt-BR"/>
              </w:rPr>
            </w:pPr>
            <w:r w:rsidRPr="00FE765E">
              <w:rPr>
                <w:rFonts w:ascii="Verdana" w:eastAsia="Times New Roman" w:hAnsi="Verdana" w:cs="Times New Roman"/>
                <w:noProof/>
                <w:color w:val="000000"/>
                <w:sz w:val="17"/>
                <w:szCs w:val="17"/>
                <w:lang w:eastAsia="pt-BR"/>
              </w:rPr>
              <mc:AlternateContent>
                <mc:Choice Requires="wps">
                  <w:drawing>
                    <wp:inline distT="0" distB="0" distL="0" distR="0">
                      <wp:extent cx="58420" cy="131445"/>
                      <wp:effectExtent l="0" t="0" r="0" b="0"/>
                      <wp:docPr id="1" name="Retângulo 1" descr="https://www.comprasnet.gov.br/imagens/tm_bulle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4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18270" id="Retângulo 1" o:spid="_x0000_s1026" alt="https://www.comprasnet.gov.br/imagens/tm_bullet.gif" style="width:4.6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" filled="f" stroked="f">
                      <o:lock v:ext="edit" aspectratio="t"/>
                      <w10:anchorlock/>
                    </v:rect>
                  </w:pict>
                </mc:Fallback>
              </mc:AlternateContent>
            </w:r>
          </w:p>
        </w:tc>
        <w:tc>
          <w:tcPr>
            <w:tcW w:w="0" w:type="auto"/>
            <w:gridSpan w:val="4"/>
            <w:shd w:val="clear" w:color="auto" w:fill="FFFFFF"/>
            <w:vAlign w:val="center"/>
            <w:hideMark/>
          </w:tcPr>
          <w:p w:rsidR="00FE765E" w:rsidRPr="00FE765E" w:rsidRDefault="00FE765E" w:rsidP="00FE765E">
            <w:pPr>
              <w:spacing w:after="0" w:line="240" w:lineRule="auto"/>
              <w:jc w:val="both"/>
              <w:rPr>
                <w:rFonts w:ascii="Verdana" w:eastAsia="Times New Roman" w:hAnsi="Verdana" w:cs="Times New Roman"/>
                <w:b/>
                <w:bCs/>
                <w:color w:val="000000"/>
                <w:sz w:val="17"/>
                <w:szCs w:val="17"/>
                <w:lang w:eastAsia="pt-BR"/>
              </w:rPr>
            </w:pPr>
            <w:r w:rsidRPr="00FE765E">
              <w:rPr>
                <w:rFonts w:ascii="Verdana" w:eastAsia="Times New Roman" w:hAnsi="Verdana" w:cs="Times New Roman"/>
                <w:b/>
                <w:bCs/>
                <w:color w:val="000000"/>
                <w:sz w:val="17"/>
                <w:szCs w:val="17"/>
                <w:lang w:eastAsia="pt-BR"/>
              </w:rPr>
              <w:t>Visualização de Recursos, Contrarrazões e Decisões</w:t>
            </w:r>
          </w:p>
          <w:p w:rsidR="00FE765E" w:rsidRPr="00FE765E" w:rsidRDefault="00FE765E" w:rsidP="00FE765E">
            <w:pPr>
              <w:spacing w:after="0" w:line="240" w:lineRule="auto"/>
              <w:jc w:val="both"/>
              <w:rPr>
                <w:rFonts w:ascii="Verdana" w:eastAsia="Times New Roman" w:hAnsi="Verdana" w:cs="Times New Roman"/>
                <w:b/>
                <w:bCs/>
                <w:color w:val="000000"/>
                <w:sz w:val="17"/>
                <w:szCs w:val="17"/>
                <w:lang w:eastAsia="pt-BR"/>
              </w:rPr>
            </w:pPr>
            <w:r w:rsidRPr="00FE765E">
              <w:rPr>
                <w:rFonts w:ascii="Verdana" w:eastAsia="Times New Roman" w:hAnsi="Verdana" w:cs="Times New Roman"/>
                <w:b/>
                <w:bCs/>
                <w:color w:val="000000"/>
                <w:sz w:val="17"/>
                <w:szCs w:val="17"/>
                <w:lang w:eastAsia="pt-BR"/>
              </w:rPr>
              <w:pict>
                <v:rect id="_x0000_i1026" style="width:0;height:.75pt" o:hralign="center" o:hrstd="t" o:hrnoshade="t" o:hr="t" fillcolor="#55774c" stroked="f"/>
              </w:pict>
            </w:r>
          </w:p>
        </w:tc>
      </w:tr>
      <w:tr w:rsidR="00FE765E" w:rsidRPr="00FE765E" w:rsidTr="00FE765E">
        <w:trPr>
          <w:tblCellSpacing w:w="7" w:type="dxa"/>
        </w:trPr>
        <w:tc>
          <w:tcPr>
            <w:tcW w:w="0" w:type="auto"/>
            <w:shd w:val="clear" w:color="auto" w:fill="FFFFFF"/>
            <w:vAlign w:val="center"/>
            <w:hideMark/>
          </w:tcPr>
          <w:p w:rsidR="00FE765E" w:rsidRPr="00FE765E" w:rsidRDefault="00FE765E" w:rsidP="00FE765E">
            <w:pPr>
              <w:spacing w:after="0" w:line="240" w:lineRule="auto"/>
              <w:jc w:val="both"/>
              <w:rPr>
                <w:rFonts w:ascii="Verdana" w:eastAsia="Times New Roman" w:hAnsi="Verdana" w:cs="Times New Roman"/>
                <w:b/>
                <w:bCs/>
                <w:color w:val="000000"/>
                <w:sz w:val="17"/>
                <w:szCs w:val="17"/>
                <w:lang w:eastAsia="pt-BR"/>
              </w:rPr>
            </w:pPr>
          </w:p>
        </w:tc>
        <w:tc>
          <w:tcPr>
            <w:tcW w:w="0" w:type="auto"/>
            <w:gridSpan w:val="4"/>
            <w:shd w:val="clear" w:color="auto" w:fill="FFFFFF"/>
            <w:vAlign w:val="center"/>
            <w:hideMark/>
          </w:tcPr>
          <w:p w:rsidR="00FE765E" w:rsidRPr="00FE765E" w:rsidRDefault="00FE765E" w:rsidP="00FE765E">
            <w:pPr>
              <w:spacing w:after="0" w:line="240" w:lineRule="auto"/>
              <w:jc w:val="both"/>
              <w:rPr>
                <w:rFonts w:ascii="Verdana" w:eastAsia="Times New Roman" w:hAnsi="Verdana" w:cs="Times New Roman"/>
                <w:b/>
                <w:bCs/>
                <w:color w:val="CC0033"/>
                <w:sz w:val="17"/>
                <w:szCs w:val="17"/>
                <w:lang w:eastAsia="pt-BR"/>
              </w:rPr>
            </w:pPr>
            <w:proofErr w:type="gramStart"/>
            <w:r w:rsidRPr="00FE765E">
              <w:rPr>
                <w:rFonts w:ascii="Verdana" w:eastAsia="Times New Roman" w:hAnsi="Verdana" w:cs="Times New Roman"/>
                <w:b/>
                <w:bCs/>
                <w:color w:val="CC0033"/>
                <w:sz w:val="17"/>
                <w:szCs w:val="17"/>
                <w:lang w:eastAsia="pt-BR"/>
              </w:rPr>
              <w:t>RECURSO :</w:t>
            </w:r>
            <w:proofErr w:type="gramEnd"/>
          </w:p>
        </w:tc>
      </w:tr>
      <w:tr w:rsidR="00FE765E" w:rsidRPr="00FE765E" w:rsidTr="00FE765E">
        <w:trPr>
          <w:tblCellSpacing w:w="7" w:type="dxa"/>
        </w:trPr>
        <w:tc>
          <w:tcPr>
            <w:tcW w:w="0" w:type="auto"/>
            <w:shd w:val="clear" w:color="auto" w:fill="FFFFFF"/>
            <w:vAlign w:val="center"/>
            <w:hideMark/>
          </w:tcPr>
          <w:p w:rsidR="00FE765E" w:rsidRPr="00FE765E" w:rsidRDefault="00FE765E" w:rsidP="00FE765E">
            <w:pPr>
              <w:spacing w:after="0" w:line="240" w:lineRule="auto"/>
              <w:jc w:val="both"/>
              <w:rPr>
                <w:rFonts w:ascii="Verdana" w:eastAsia="Times New Roman" w:hAnsi="Verdana" w:cs="Times New Roman"/>
                <w:b/>
                <w:bCs/>
                <w:color w:val="CC0033"/>
                <w:sz w:val="17"/>
                <w:szCs w:val="17"/>
                <w:lang w:eastAsia="pt-BR"/>
              </w:rPr>
            </w:pPr>
          </w:p>
        </w:tc>
        <w:tc>
          <w:tcPr>
            <w:tcW w:w="0" w:type="auto"/>
            <w:gridSpan w:val="4"/>
            <w:shd w:val="clear" w:color="auto" w:fill="FFFFFF"/>
            <w:vAlign w:val="center"/>
            <w:hideMark/>
          </w:tcPr>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Ao Ilustríssimo Senhor Pregoeiro</w:t>
            </w:r>
            <w:r w:rsidRPr="00FE765E">
              <w:rPr>
                <w:rFonts w:ascii="Verdana" w:eastAsia="Times New Roman" w:hAnsi="Verdana" w:cs="Times New Roman"/>
                <w:color w:val="000000"/>
                <w:sz w:val="17"/>
                <w:szCs w:val="17"/>
                <w:lang w:eastAsia="pt-BR"/>
              </w:rPr>
              <w:br/>
              <w:t>COMISSÃO PERMANENTE DE LICITAÇÃO/ARSER</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Ref.:</w:t>
            </w:r>
            <w:r>
              <w:rPr>
                <w:rFonts w:ascii="Verdana" w:eastAsia="Times New Roman" w:hAnsi="Verdana" w:cs="Times New Roman"/>
                <w:color w:val="000000"/>
                <w:sz w:val="17"/>
                <w:szCs w:val="17"/>
                <w:lang w:eastAsia="pt-BR"/>
              </w:rPr>
              <w:t xml:space="preserve"> </w:t>
            </w:r>
            <w:r w:rsidRPr="00FE765E">
              <w:rPr>
                <w:rFonts w:ascii="Verdana" w:eastAsia="Times New Roman" w:hAnsi="Verdana" w:cs="Times New Roman"/>
                <w:color w:val="000000"/>
                <w:sz w:val="17"/>
                <w:szCs w:val="17"/>
                <w:lang w:eastAsia="pt-BR"/>
              </w:rPr>
              <w:t>PREGÃO ELETRÔNICO (SRP) Nº 024/2020-CPL/ARSER</w:t>
            </w:r>
            <w:r w:rsidRPr="00FE765E">
              <w:rPr>
                <w:rFonts w:ascii="Verdana" w:eastAsia="Times New Roman" w:hAnsi="Verdana" w:cs="Times New Roman"/>
                <w:color w:val="000000"/>
                <w:sz w:val="17"/>
                <w:szCs w:val="17"/>
                <w:lang w:eastAsia="pt-BR"/>
              </w:rPr>
              <w:br/>
              <w:t>Objeto: CONTRATAÇÃO DE EMPRESA ESPECIALIZADA NA PRESTAÇÃO DE SERVIÇOS DE ESGOTAMENTO DE DEJETOS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 xml:space="preserve">NOME DA EMPRESA, pessoa jurídica de direito privado, inscrita no CNPJ sob n. 14.404.723/0002-41, com sede e foro na Rua </w:t>
            </w:r>
            <w:proofErr w:type="spellStart"/>
            <w:r w:rsidRPr="00FE765E">
              <w:rPr>
                <w:rFonts w:ascii="Verdana" w:eastAsia="Times New Roman" w:hAnsi="Verdana" w:cs="Times New Roman"/>
                <w:color w:val="000000"/>
                <w:sz w:val="17"/>
                <w:szCs w:val="17"/>
                <w:lang w:eastAsia="pt-BR"/>
              </w:rPr>
              <w:t>Lot</w:t>
            </w:r>
            <w:proofErr w:type="spellEnd"/>
            <w:r w:rsidRPr="00FE765E">
              <w:rPr>
                <w:rFonts w:ascii="Verdana" w:eastAsia="Times New Roman" w:hAnsi="Verdana" w:cs="Times New Roman"/>
                <w:color w:val="000000"/>
                <w:sz w:val="17"/>
                <w:szCs w:val="17"/>
                <w:lang w:eastAsia="pt-BR"/>
              </w:rPr>
              <w:t xml:space="preserve">. Canto do </w:t>
            </w:r>
            <w:proofErr w:type="spellStart"/>
            <w:r w:rsidRPr="00FE765E">
              <w:rPr>
                <w:rFonts w:ascii="Verdana" w:eastAsia="Times New Roman" w:hAnsi="Verdana" w:cs="Times New Roman"/>
                <w:color w:val="000000"/>
                <w:sz w:val="17"/>
                <w:szCs w:val="17"/>
                <w:lang w:eastAsia="pt-BR"/>
              </w:rPr>
              <w:t>Maina</w:t>
            </w:r>
            <w:proofErr w:type="spellEnd"/>
            <w:r w:rsidRPr="00FE765E">
              <w:rPr>
                <w:rFonts w:ascii="Verdana" w:eastAsia="Times New Roman" w:hAnsi="Verdana" w:cs="Times New Roman"/>
                <w:color w:val="000000"/>
                <w:sz w:val="17"/>
                <w:szCs w:val="17"/>
                <w:lang w:eastAsia="pt-BR"/>
              </w:rPr>
              <w:t>, nº 1040, Cidade Universitária, Maceió – AL. Representada pelo Sr. Juarez Ferreira do Rego Filho, inscrito no CPF/MF sob nº 037.269.054-80 vem, respeitosa e tempestivamente, à presença de Vossa Senhoria, interpor RECURSO em face da classificação da empresa MARTIN LOG TRANSPORTES E SERVIÇOS LTDA, inscrita no CNPJ sob n. 22.202.721/0001-17 os termos do Edital acima mencionado, com sustentação nos §§ 1o e 2° do artigo 41 da Lei nº 8.666/93, aplicável por força do artigo 9.º da lei federal n. º 10.520/2002, pelas razões de fato e de direito a seguir expostas: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1. DA TEMPESTIVIDADE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O artigo 4º, XVIII, da Lei nº 10.520/2002, que instituiu normas para a modalidade de licitação denominada pregão, estabeleceu que: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 xml:space="preserve">XVIII - declarado o vencedor, qualquer licitante poderá manifestar imediata e motivadamente a intenção de recorrer, quando lhe será concedido o prazo de 3 (três) dias para apresentação das razões do recurso, ficando os demais licitantes desde logo intimados para apresentar </w:t>
            </w:r>
            <w:proofErr w:type="spellStart"/>
            <w:r w:rsidRPr="00FE765E">
              <w:rPr>
                <w:rFonts w:ascii="Verdana" w:eastAsia="Times New Roman" w:hAnsi="Verdana" w:cs="Times New Roman"/>
                <w:color w:val="000000"/>
                <w:sz w:val="17"/>
                <w:szCs w:val="17"/>
                <w:lang w:eastAsia="pt-BR"/>
              </w:rPr>
              <w:t>contra-razões</w:t>
            </w:r>
            <w:proofErr w:type="spellEnd"/>
            <w:r w:rsidRPr="00FE765E">
              <w:rPr>
                <w:rFonts w:ascii="Verdana" w:eastAsia="Times New Roman" w:hAnsi="Verdana" w:cs="Times New Roman"/>
                <w:color w:val="000000"/>
                <w:sz w:val="17"/>
                <w:szCs w:val="17"/>
                <w:lang w:eastAsia="pt-BR"/>
              </w:rPr>
              <w:t xml:space="preserve"> em igual número de dias, que começarão a correr do término do prazo do recorrente, sendo-lhes assegurada vista imediata dos autos;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Quanto ao edital, prevê no item 19.5 que “A recorrente que tiver sua intenção de recurso aceita terá o prazo de 03 DIAS para apresentar as razões do recurso, por meio de registro no sistema, ficando as demais licitantes, desde logo, intimadas a apresentar contrarrazões, também via sistema, em igual prazo, que começará a correr do término do prazo da recorrente.</w:t>
            </w:r>
            <w:r w:rsidRPr="00FE765E">
              <w:rPr>
                <w:rFonts w:ascii="Verdana" w:eastAsia="Times New Roman" w:hAnsi="Verdana" w:cs="Times New Roman"/>
                <w:color w:val="000000"/>
                <w:sz w:val="17"/>
                <w:szCs w:val="17"/>
                <w:lang w:eastAsia="pt-BR"/>
              </w:rPr>
              <w:br/>
              <w:t>Uma vez que a data da sessão do Pregão foi realizada no dia 09/03/2020, foi apresentada a intenção de recurso nos termos do item 19.1, sendo esta aceita, o prazo máximo para a apresentação das razões do recurso ocorrerá em 13/03/2020. Assim, em sendo este encaminhado em 13/03/2020, deve, portanto, ser considerado tempestivo.</w:t>
            </w:r>
            <w:r w:rsidRPr="00FE765E">
              <w:rPr>
                <w:rFonts w:ascii="Verdana" w:eastAsia="Times New Roman" w:hAnsi="Verdana" w:cs="Times New Roman"/>
                <w:color w:val="000000"/>
                <w:sz w:val="17"/>
                <w:szCs w:val="17"/>
                <w:lang w:eastAsia="pt-BR"/>
              </w:rPr>
              <w:br/>
            </w:r>
            <w:r w:rsidRPr="00FE765E">
              <w:rPr>
                <w:rFonts w:ascii="Verdana" w:eastAsia="Times New Roman" w:hAnsi="Verdana" w:cs="Times New Roman"/>
                <w:color w:val="000000"/>
                <w:sz w:val="17"/>
                <w:szCs w:val="17"/>
                <w:lang w:eastAsia="pt-BR"/>
              </w:rPr>
              <w:br/>
              <w:t>2. PREÂMBULO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O presente recurso tem como objetivo impugnar a classificação da empresa vencedora do pregão que, apesar de vencedora, esta deixou de cumprir alguns requisitos previstos no edital a qual comprometeu a disputa, trazendo prejuízos para o próprio Órgão. Tais vícios criam óbice à realização de forma justa a disputa, por que deixa de seguir critérios essenciais de habilitação técnica, ferindo dispositivos legais que regem o processo licitatório, sobre os quais discorreremos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roofErr w:type="gramStart"/>
            <w:r w:rsidRPr="00FE765E">
              <w:rPr>
                <w:rFonts w:ascii="Verdana" w:eastAsia="Times New Roman" w:hAnsi="Verdana" w:cs="Times New Roman"/>
                <w:color w:val="000000"/>
                <w:sz w:val="17"/>
                <w:szCs w:val="17"/>
                <w:lang w:eastAsia="pt-BR"/>
              </w:rPr>
              <w:t>a</w:t>
            </w:r>
            <w:proofErr w:type="gramEnd"/>
            <w:r w:rsidRPr="00FE765E">
              <w:rPr>
                <w:rFonts w:ascii="Verdana" w:eastAsia="Times New Roman" w:hAnsi="Verdana" w:cs="Times New Roman"/>
                <w:color w:val="000000"/>
                <w:sz w:val="17"/>
                <w:szCs w:val="17"/>
                <w:lang w:eastAsia="pt-BR"/>
              </w:rPr>
              <w:t xml:space="preserve"> seguir.</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DO MÉRITO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3.1. Da Capacidade Técnica</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Sabidamente, o processo licitatório tem entre suas finalidades procurar a proposta mais vantajosa para a Administração e proporcionar um elevado nível de competitividade e igualdade de tratamento entre os participantes do certame, de forma a garantir o cumprimento dos princípios constitucionais da eficiência e isonomia, consoante art. 37 da Constituição Federal de 1988.</w:t>
            </w:r>
            <w:r w:rsidRPr="00FE765E">
              <w:rPr>
                <w:rFonts w:ascii="Verdana" w:eastAsia="Times New Roman" w:hAnsi="Verdana" w:cs="Times New Roman"/>
                <w:color w:val="000000"/>
                <w:sz w:val="17"/>
                <w:szCs w:val="17"/>
                <w:lang w:eastAsia="pt-BR"/>
              </w:rPr>
              <w:br/>
              <w:t>Mas não é o que se verifica no caso em análise.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Compulsando o instrumento convocatório, principalmente no Item 9, subitem 9.3, relativos à Qualificação Técnica, consta ali que o licitante deverá comprovar:</w:t>
            </w:r>
            <w:r w:rsidRPr="00FE765E">
              <w:rPr>
                <w:rFonts w:ascii="Verdana" w:eastAsia="Times New Roman" w:hAnsi="Verdana" w:cs="Times New Roman"/>
                <w:color w:val="000000"/>
                <w:sz w:val="17"/>
                <w:szCs w:val="17"/>
                <w:lang w:eastAsia="pt-BR"/>
              </w:rPr>
              <w:br/>
              <w:t>(...)</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br/>
              <w:t>Item necessário para habilitação técnica;</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roofErr w:type="spellStart"/>
            <w:proofErr w:type="gramStart"/>
            <w:r w:rsidRPr="00FE765E">
              <w:rPr>
                <w:rFonts w:ascii="Verdana" w:eastAsia="Times New Roman" w:hAnsi="Verdana" w:cs="Times New Roman"/>
                <w:color w:val="000000"/>
                <w:sz w:val="17"/>
                <w:szCs w:val="17"/>
                <w:lang w:eastAsia="pt-BR"/>
              </w:rPr>
              <w:t>sub</w:t>
            </w:r>
            <w:proofErr w:type="gramEnd"/>
            <w:r w:rsidRPr="00FE765E">
              <w:rPr>
                <w:rFonts w:ascii="Verdana" w:eastAsia="Times New Roman" w:hAnsi="Verdana" w:cs="Times New Roman"/>
                <w:color w:val="000000"/>
                <w:sz w:val="17"/>
                <w:szCs w:val="17"/>
                <w:lang w:eastAsia="pt-BR"/>
              </w:rPr>
              <w:t>-item</w:t>
            </w:r>
            <w:proofErr w:type="spellEnd"/>
            <w:r w:rsidRPr="00FE765E">
              <w:rPr>
                <w:rFonts w:ascii="Verdana" w:eastAsia="Times New Roman" w:hAnsi="Verdana" w:cs="Times New Roman"/>
                <w:color w:val="000000"/>
                <w:sz w:val="17"/>
                <w:szCs w:val="17"/>
                <w:lang w:eastAsia="pt-BR"/>
              </w:rPr>
              <w:t xml:space="preserve"> 9.3: Comprovação da Disponibilidade do Responsável Técnico de nível Superior com formação em qualquer uma das seguintes áreas: química, biologia, engenharia sanitária, engenharia química, ou engenharia ambiental, bem como Inscrição junto ao Conselho Regional Pertinente CREA , CRQ ou </w:t>
            </w:r>
            <w:proofErr w:type="spellStart"/>
            <w:r w:rsidRPr="00FE765E">
              <w:rPr>
                <w:rFonts w:ascii="Verdana" w:eastAsia="Times New Roman" w:hAnsi="Verdana" w:cs="Times New Roman"/>
                <w:color w:val="000000"/>
                <w:sz w:val="17"/>
                <w:szCs w:val="17"/>
                <w:lang w:eastAsia="pt-BR"/>
              </w:rPr>
              <w:t>CRBio.</w:t>
            </w:r>
            <w:proofErr w:type="spellEnd"/>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Pelo que se vê, são estas as exigências do edital para comprovação da capacidade técnica da empresa que pretenda contratar com a Administração, sendo isto o que se passa a analisar.</w:t>
            </w:r>
            <w:r w:rsidRPr="00FE765E">
              <w:rPr>
                <w:rFonts w:ascii="Verdana" w:eastAsia="Times New Roman" w:hAnsi="Verdana" w:cs="Times New Roman"/>
                <w:color w:val="000000"/>
                <w:sz w:val="17"/>
                <w:szCs w:val="17"/>
                <w:lang w:eastAsia="pt-BR"/>
              </w:rPr>
              <w:br/>
            </w:r>
            <w:r w:rsidRPr="00FE765E">
              <w:rPr>
                <w:rFonts w:ascii="Verdana" w:eastAsia="Times New Roman" w:hAnsi="Verdana" w:cs="Times New Roman"/>
                <w:color w:val="000000"/>
                <w:sz w:val="17"/>
                <w:szCs w:val="17"/>
                <w:lang w:eastAsia="pt-BR"/>
              </w:rPr>
              <w:br/>
            </w:r>
            <w:r w:rsidRPr="00FE765E">
              <w:rPr>
                <w:rFonts w:ascii="Verdana" w:eastAsia="Times New Roman" w:hAnsi="Verdana" w:cs="Times New Roman"/>
                <w:color w:val="000000"/>
                <w:sz w:val="17"/>
                <w:szCs w:val="17"/>
                <w:lang w:eastAsia="pt-BR"/>
              </w:rPr>
              <w:br/>
              <w:t>3.1.1. Da Habilitação Técnica</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 xml:space="preserve">Sabidamente, é dever da Administração exigir na licitação aquela documentação indispensável para execução do contrato e o que for fundamental para verificar a idoneidade e a capacidade das </w:t>
            </w:r>
            <w:r w:rsidRPr="00FE765E">
              <w:rPr>
                <w:rFonts w:ascii="Verdana" w:eastAsia="Times New Roman" w:hAnsi="Verdana" w:cs="Times New Roman"/>
                <w:color w:val="000000"/>
                <w:sz w:val="17"/>
                <w:szCs w:val="17"/>
                <w:lang w:eastAsia="pt-BR"/>
              </w:rPr>
              <w:lastRenderedPageBreak/>
              <w:t>licitantes.</w:t>
            </w:r>
            <w:r w:rsidRPr="00FE765E">
              <w:rPr>
                <w:rFonts w:ascii="Verdana" w:eastAsia="Times New Roman" w:hAnsi="Verdana" w:cs="Times New Roman"/>
                <w:color w:val="000000"/>
                <w:sz w:val="17"/>
                <w:szCs w:val="17"/>
                <w:lang w:eastAsia="pt-BR"/>
              </w:rPr>
              <w:br/>
              <w:t>Assim, para estabelecer quais os requisitos essenciais à participação das licitantes, a Administração dispõe de certa discricionariedade e deve avaliar a complexidade da futura contratação, estabelecendo os requisitos indispensáveis à garantia de uma perfeita execução do contrato por aquele que sagrar-se vencedor. Discricionariedade esta que não pode ser confundida com arbitrariedade, sendo que a escolha da Administração está delimitada não apenas pela Lei como também pela própria Constituição.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 xml:space="preserve">Nessa senda é o alerta de Julieta Mendes Lopes </w:t>
            </w:r>
            <w:proofErr w:type="spellStart"/>
            <w:r w:rsidRPr="00FE765E">
              <w:rPr>
                <w:rFonts w:ascii="Verdana" w:eastAsia="Times New Roman" w:hAnsi="Verdana" w:cs="Times New Roman"/>
                <w:color w:val="000000"/>
                <w:sz w:val="17"/>
                <w:szCs w:val="17"/>
                <w:lang w:eastAsia="pt-BR"/>
              </w:rPr>
              <w:t>Vareschini</w:t>
            </w:r>
            <w:proofErr w:type="spellEnd"/>
            <w:proofErr w:type="gramStart"/>
            <w:r w:rsidRPr="00FE765E">
              <w:rPr>
                <w:rFonts w:ascii="Verdana" w:eastAsia="Times New Roman" w:hAnsi="Verdana" w:cs="Times New Roman"/>
                <w:color w:val="000000"/>
                <w:sz w:val="17"/>
                <w:szCs w:val="17"/>
                <w:lang w:eastAsia="pt-BR"/>
              </w:rPr>
              <w:t>:</w:t>
            </w:r>
            <w:r w:rsidRPr="00FE765E">
              <w:rPr>
                <w:rFonts w:ascii="Verdana" w:eastAsia="Times New Roman" w:hAnsi="Verdana" w:cs="Times New Roman"/>
                <w:color w:val="000000"/>
                <w:sz w:val="17"/>
                <w:szCs w:val="17"/>
                <w:lang w:eastAsia="pt-BR"/>
              </w:rPr>
              <w:br/>
              <w:t>“</w:t>
            </w:r>
            <w:proofErr w:type="gramEnd"/>
            <w:r w:rsidRPr="00FE765E">
              <w:rPr>
                <w:rFonts w:ascii="Verdana" w:eastAsia="Times New Roman" w:hAnsi="Verdana" w:cs="Times New Roman"/>
                <w:color w:val="000000"/>
                <w:sz w:val="17"/>
                <w:szCs w:val="17"/>
                <w:lang w:eastAsia="pt-BR"/>
              </w:rPr>
              <w:t xml:space="preserve">O edital deverá disciplinar os documentos que serão exigidos para fins de habilitação, dentre os elencados nos </w:t>
            </w:r>
            <w:proofErr w:type="spellStart"/>
            <w:r w:rsidRPr="00FE765E">
              <w:rPr>
                <w:rFonts w:ascii="Verdana" w:eastAsia="Times New Roman" w:hAnsi="Verdana" w:cs="Times New Roman"/>
                <w:color w:val="000000"/>
                <w:sz w:val="17"/>
                <w:szCs w:val="17"/>
                <w:lang w:eastAsia="pt-BR"/>
              </w:rPr>
              <w:t>arts</w:t>
            </w:r>
            <w:proofErr w:type="spellEnd"/>
            <w:r w:rsidRPr="00FE765E">
              <w:rPr>
                <w:rFonts w:ascii="Verdana" w:eastAsia="Times New Roman" w:hAnsi="Verdana" w:cs="Times New Roman"/>
                <w:color w:val="000000"/>
                <w:sz w:val="17"/>
                <w:szCs w:val="17"/>
                <w:lang w:eastAsia="pt-BR"/>
              </w:rPr>
              <w:t>. 27 a 31 da Lei 8.666/93. Esses dispositivos devem ser interpretados em consonância com o art. 37, inc. XXI, da Constituição Federal, cujo teor estipula que somente poderão ser solicitadas exigências de qualificação técnica e econômica indispensáveis à garantia do</w:t>
            </w:r>
            <w:r>
              <w:rPr>
                <w:rFonts w:ascii="Verdana" w:eastAsia="Times New Roman" w:hAnsi="Verdana" w:cs="Times New Roman"/>
                <w:color w:val="000000"/>
                <w:sz w:val="17"/>
                <w:szCs w:val="17"/>
                <w:lang w:eastAsia="pt-BR"/>
              </w:rPr>
              <w:t xml:space="preserve"> </w:t>
            </w:r>
            <w:r w:rsidRPr="00FE765E">
              <w:rPr>
                <w:rFonts w:ascii="Verdana" w:eastAsia="Times New Roman" w:hAnsi="Verdana" w:cs="Times New Roman"/>
                <w:color w:val="000000"/>
                <w:sz w:val="17"/>
                <w:szCs w:val="17"/>
                <w:lang w:eastAsia="pt-BR"/>
              </w:rPr>
              <w:t>cumprimento das obrigações.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Assim, à luz das características do objeto deve-se verificar que as exigências prescritas nos aludidos dispositivos são imprescindíveis para que a entidade avalie a capacidade e idoneidade dos licitantes em atender, de modo satisfatório, o interesse público almejado com a instauração do certame.</w:t>
            </w:r>
            <w:r w:rsidRPr="00FE765E">
              <w:rPr>
                <w:rFonts w:ascii="Verdana" w:eastAsia="Times New Roman" w:hAnsi="Verdana" w:cs="Times New Roman"/>
                <w:color w:val="000000"/>
                <w:sz w:val="17"/>
                <w:szCs w:val="17"/>
                <w:lang w:eastAsia="pt-BR"/>
              </w:rPr>
              <w:br/>
              <w:t xml:space="preserve">Neste mesmo sentido é o entendimento de Marçal </w:t>
            </w:r>
            <w:proofErr w:type="spellStart"/>
            <w:r w:rsidRPr="00FE765E">
              <w:rPr>
                <w:rFonts w:ascii="Verdana" w:eastAsia="Times New Roman" w:hAnsi="Verdana" w:cs="Times New Roman"/>
                <w:color w:val="000000"/>
                <w:sz w:val="17"/>
                <w:szCs w:val="17"/>
                <w:lang w:eastAsia="pt-BR"/>
              </w:rPr>
              <w:t>Justen</w:t>
            </w:r>
            <w:proofErr w:type="spellEnd"/>
            <w:r w:rsidRPr="00FE765E">
              <w:rPr>
                <w:rFonts w:ascii="Verdana" w:eastAsia="Times New Roman" w:hAnsi="Verdana" w:cs="Times New Roman"/>
                <w:color w:val="000000"/>
                <w:sz w:val="17"/>
                <w:szCs w:val="17"/>
                <w:lang w:eastAsia="pt-BR"/>
              </w:rPr>
              <w:t xml:space="preserve"> Filho: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 determinação do grau de severidade a ser adotado relativamente às condições de participação depende do caso concreto. A lei pode estabelecer exigências mínimas e máximas, mas a determinação específica será variável caso a caso e dependerá das características do objeto a ser executado. O nível de seriedade das exigências de participação será sempre um reflexo das características do objeto licitado.”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Nesse diapasão, o edital seguiu as regras previstas em lei e na própria Constituição Federal, entretanto, conforme observado nos documentos em anexos, a empresa vencedora do pregão apresentou documento de responsável técnico sem a devida qualificação exigida, qual seja, responsável técnico com nível de graduação superior, sendo apresentado então responsável apenas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Com</w:t>
            </w:r>
            <w:r>
              <w:rPr>
                <w:rFonts w:ascii="Verdana" w:eastAsia="Times New Roman" w:hAnsi="Verdana" w:cs="Times New Roman"/>
                <w:color w:val="000000"/>
                <w:sz w:val="17"/>
                <w:szCs w:val="17"/>
                <w:lang w:eastAsia="pt-BR"/>
              </w:rPr>
              <w:t xml:space="preserve"> </w:t>
            </w:r>
            <w:r w:rsidRPr="00FE765E">
              <w:rPr>
                <w:rFonts w:ascii="Verdana" w:eastAsia="Times New Roman" w:hAnsi="Verdana" w:cs="Times New Roman"/>
                <w:color w:val="000000"/>
                <w:sz w:val="17"/>
                <w:szCs w:val="17"/>
                <w:lang w:eastAsia="pt-BR"/>
              </w:rPr>
              <w:t>nível especialização.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Outrossim, a não qualificação com nível superior impede, inclusive, sua habilitação junto ao conselho regional pertinente.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Ademais, Conforme prescreve o artigo 30, inciso I, II e IV, e §§ 1o e 3o, da Lei 8.666/93:</w:t>
            </w:r>
            <w:r w:rsidRPr="00FE765E">
              <w:rPr>
                <w:rFonts w:ascii="Verdana" w:eastAsia="Times New Roman" w:hAnsi="Verdana" w:cs="Times New Roman"/>
                <w:color w:val="000000"/>
                <w:sz w:val="17"/>
                <w:szCs w:val="17"/>
                <w:lang w:eastAsia="pt-BR"/>
              </w:rPr>
              <w:br/>
              <w:t xml:space="preserve">Art. 30. A documentação relativa à qualificação técnica </w:t>
            </w:r>
            <w:proofErr w:type="spellStart"/>
            <w:r w:rsidRPr="00FE765E">
              <w:rPr>
                <w:rFonts w:ascii="Verdana" w:eastAsia="Times New Roman" w:hAnsi="Verdana" w:cs="Times New Roman"/>
                <w:color w:val="000000"/>
                <w:sz w:val="17"/>
                <w:szCs w:val="17"/>
                <w:lang w:eastAsia="pt-BR"/>
              </w:rPr>
              <w:t>limitarse-á</w:t>
            </w:r>
            <w:proofErr w:type="spellEnd"/>
            <w:r w:rsidRPr="00FE765E">
              <w:rPr>
                <w:rFonts w:ascii="Verdana" w:eastAsia="Times New Roman" w:hAnsi="Verdana" w:cs="Times New Roman"/>
                <w:color w:val="000000"/>
                <w:sz w:val="17"/>
                <w:szCs w:val="17"/>
                <w:lang w:eastAsia="pt-BR"/>
              </w:rPr>
              <w:t xml:space="preserve"> a:</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I - registro ou inscrição na entidade profissional competente;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II -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III - comprovação, fornecida pelo órgão licitante, de que recebeu os documentos, e, quando exigido, de que tomou conhecimento de todas as informações e das condições locais para o cumprimento das obrigações objeto da licitação;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IV - prova de atendimento de requisitos previstos em lei especial, quando for o caso.</w:t>
            </w:r>
            <w:r w:rsidRPr="00FE765E">
              <w:rPr>
                <w:rFonts w:ascii="Verdana" w:eastAsia="Times New Roman" w:hAnsi="Verdana" w:cs="Times New Roman"/>
                <w:color w:val="000000"/>
                <w:sz w:val="17"/>
                <w:szCs w:val="17"/>
                <w:lang w:eastAsia="pt-BR"/>
              </w:rPr>
              <w:br/>
              <w:t>§ 1º A comprovação de aptidão referida no inciso II deste artigo, no caso de licitações pertinentes a obras e serviços, será feita por atestados fornecidos por pessoas jurídicas de direito público ou privado, devidamente certificados pela entidade profissional competente, limitadas as exigências a:</w:t>
            </w:r>
            <w:r w:rsidRPr="00FE765E">
              <w:rPr>
                <w:rFonts w:ascii="Verdana" w:eastAsia="Times New Roman" w:hAnsi="Verdana" w:cs="Times New Roman"/>
                <w:color w:val="000000"/>
                <w:sz w:val="17"/>
                <w:szCs w:val="17"/>
                <w:lang w:eastAsia="pt-BR"/>
              </w:rPr>
              <w:br/>
              <w:t>I - 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 vedadas as exigências de quantidades mínimas ou prazos máximos;</w:t>
            </w:r>
            <w:r w:rsidRPr="00FE765E">
              <w:rPr>
                <w:rFonts w:ascii="Verdana" w:eastAsia="Times New Roman" w:hAnsi="Verdana" w:cs="Times New Roman"/>
                <w:color w:val="000000"/>
                <w:sz w:val="17"/>
                <w:szCs w:val="17"/>
                <w:lang w:eastAsia="pt-BR"/>
              </w:rPr>
              <w:br/>
              <w:t>Ainda a Resolução nº 447/2000, dispõe em seu art. 1º sobre o registro profissional do engenheiro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roofErr w:type="gramStart"/>
            <w:r w:rsidRPr="00FE765E">
              <w:rPr>
                <w:rFonts w:ascii="Verdana" w:eastAsia="Times New Roman" w:hAnsi="Verdana" w:cs="Times New Roman"/>
                <w:color w:val="000000"/>
                <w:sz w:val="17"/>
                <w:szCs w:val="17"/>
                <w:lang w:eastAsia="pt-BR"/>
              </w:rPr>
              <w:t>ambiental</w:t>
            </w:r>
            <w:proofErr w:type="gramEnd"/>
            <w:r w:rsidRPr="00FE765E">
              <w:rPr>
                <w:rFonts w:ascii="Verdana" w:eastAsia="Times New Roman" w:hAnsi="Verdana" w:cs="Times New Roman"/>
                <w:color w:val="000000"/>
                <w:sz w:val="17"/>
                <w:szCs w:val="17"/>
                <w:lang w:eastAsia="pt-BR"/>
              </w:rPr>
              <w:t xml:space="preserve"> e discrimina suas atividades profissionais: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br/>
              <w:t xml:space="preserve">Art. 1º Os Conselhos Regionais de Engenharia, Arquitetura e Agronomia – </w:t>
            </w:r>
            <w:proofErr w:type="spellStart"/>
            <w:r w:rsidRPr="00FE765E">
              <w:rPr>
                <w:rFonts w:ascii="Verdana" w:eastAsia="Times New Roman" w:hAnsi="Verdana" w:cs="Times New Roman"/>
                <w:color w:val="000000"/>
                <w:sz w:val="17"/>
                <w:szCs w:val="17"/>
                <w:lang w:eastAsia="pt-BR"/>
              </w:rPr>
              <w:t>CREAs</w:t>
            </w:r>
            <w:proofErr w:type="spellEnd"/>
            <w:r w:rsidRPr="00FE765E">
              <w:rPr>
                <w:rFonts w:ascii="Verdana" w:eastAsia="Times New Roman" w:hAnsi="Verdana" w:cs="Times New Roman"/>
                <w:color w:val="000000"/>
                <w:sz w:val="17"/>
                <w:szCs w:val="17"/>
                <w:lang w:eastAsia="pt-BR"/>
              </w:rPr>
              <w:t xml:space="preserve"> devem proceder o competente registro dos profissionais oriundos dos cursos de Engenharia Ambiental, anotando em suas carteiras profissionais o respectivo título profissional, de acordo com o constante nos diplomas expedidos, desde que devidamente registrados.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Art. 4º Os engenheiros ambientais integrarão o grupo ou categoria da Engenharia, Modalidade Civil, prevista no art. 8º da Resolução 335, de 27 de outubro de 1989.</w:t>
            </w:r>
            <w:r w:rsidRPr="00FE765E">
              <w:rPr>
                <w:rFonts w:ascii="Verdana" w:eastAsia="Times New Roman" w:hAnsi="Verdana" w:cs="Times New Roman"/>
                <w:color w:val="000000"/>
                <w:sz w:val="17"/>
                <w:szCs w:val="17"/>
                <w:lang w:eastAsia="pt-BR"/>
              </w:rPr>
              <w:br/>
              <w:t>O art. 3º da mesma resolução aduz:</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Art. 3º Nenhum profissional poderá desempenhar atividades além daquelas que lhe competem, pelas características de seu currículo escolar, consideradas em cada caso, apenas, as disciplinas que contribuem para a graduação profissional, salvo outras que lhe sejam acrescidas em curso de pós-graduação, na mesma modalidade.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Insta ressaltar que a empresa não apresentou nenhuma comprovação das modalidades previstas no certame, quais sejam; nível superior ou técnico, apresentou apenas certificado de especialização conforme já mencionado, o qual não atesta a qualificação exigida no instrumento convocatório, muito menos preenche requisito para inscrição no conselho de classe CREA e afins.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lastRenderedPageBreak/>
              <w:t xml:space="preserve">Desta feita, por apresentar diversos vícios atentatórios ao instrumento convocatório, bem como aos princípios que regem a Administração pública, a </w:t>
            </w:r>
            <w:proofErr w:type="spellStart"/>
            <w:r w:rsidRPr="00FE765E">
              <w:rPr>
                <w:rFonts w:ascii="Verdana" w:eastAsia="Times New Roman" w:hAnsi="Verdana" w:cs="Times New Roman"/>
                <w:color w:val="000000"/>
                <w:sz w:val="17"/>
                <w:szCs w:val="17"/>
                <w:lang w:eastAsia="pt-BR"/>
              </w:rPr>
              <w:t>clasificação</w:t>
            </w:r>
            <w:proofErr w:type="spellEnd"/>
            <w:r w:rsidRPr="00FE765E">
              <w:rPr>
                <w:rFonts w:ascii="Verdana" w:eastAsia="Times New Roman" w:hAnsi="Verdana" w:cs="Times New Roman"/>
                <w:color w:val="000000"/>
                <w:sz w:val="17"/>
                <w:szCs w:val="17"/>
                <w:lang w:eastAsia="pt-BR"/>
              </w:rPr>
              <w:t xml:space="preserve"> da empresa em comento deve ser nulo de pleno direito por não atender os parâmetros necessários para habilitação licitatória, em obediência ao Princípio da Legalidade.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 xml:space="preserve">Ainda, no que tange ao edital, destacamos que de acordo com o item 18.5. </w:t>
            </w:r>
            <w:proofErr w:type="gramStart"/>
            <w:r w:rsidRPr="00FE765E">
              <w:rPr>
                <w:rFonts w:ascii="Verdana" w:eastAsia="Times New Roman" w:hAnsi="Verdana" w:cs="Times New Roman"/>
                <w:color w:val="000000"/>
                <w:sz w:val="17"/>
                <w:szCs w:val="17"/>
                <w:lang w:eastAsia="pt-BR"/>
              </w:rPr>
              <w:t>letã</w:t>
            </w:r>
            <w:proofErr w:type="gramEnd"/>
            <w:r w:rsidRPr="00FE765E">
              <w:rPr>
                <w:rFonts w:ascii="Verdana" w:eastAsia="Times New Roman" w:hAnsi="Verdana" w:cs="Times New Roman"/>
                <w:color w:val="000000"/>
                <w:sz w:val="17"/>
                <w:szCs w:val="17"/>
                <w:lang w:eastAsia="pt-BR"/>
              </w:rPr>
              <w:t xml:space="preserve"> “a” - apresentar quaisquer documento em desacordo com o referido edital, acarretaria inabilitação.</w:t>
            </w:r>
            <w:r w:rsidRPr="00FE765E">
              <w:rPr>
                <w:rFonts w:ascii="Verdana" w:eastAsia="Times New Roman" w:hAnsi="Verdana" w:cs="Times New Roman"/>
                <w:color w:val="000000"/>
                <w:sz w:val="17"/>
                <w:szCs w:val="17"/>
                <w:lang w:eastAsia="pt-BR"/>
              </w:rPr>
              <w:br/>
              <w:t>Além do mais, conforme previsão expressa no edital no item 5. Subitem 5.1, letra “c”, dispõe ser</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proofErr w:type="gramStart"/>
            <w:r w:rsidRPr="00FE765E">
              <w:rPr>
                <w:rFonts w:ascii="Verdana" w:eastAsia="Times New Roman" w:hAnsi="Verdana" w:cs="Times New Roman"/>
                <w:color w:val="000000"/>
                <w:sz w:val="17"/>
                <w:szCs w:val="17"/>
                <w:lang w:eastAsia="pt-BR"/>
              </w:rPr>
              <w:t>de</w:t>
            </w:r>
            <w:proofErr w:type="gramEnd"/>
            <w:r w:rsidRPr="00FE765E">
              <w:rPr>
                <w:rFonts w:ascii="Verdana" w:eastAsia="Times New Roman" w:hAnsi="Verdana" w:cs="Times New Roman"/>
                <w:color w:val="000000"/>
                <w:sz w:val="17"/>
                <w:szCs w:val="17"/>
                <w:lang w:eastAsia="pt-BR"/>
              </w:rPr>
              <w:t xml:space="preserve"> responsabilidade do licitante:</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C) Remeter, no prazo estabelecido, EXCLUSIVAMENTE VIA SISTEMA, os documentos de habilitação e a proposta comercial e, quando necessário, os documentos complementares solicitado no presente Edital (e seus apêndices).</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br/>
              <w:t>Razão pela qual, a inobservância e descumprimentos de todos esses requisitos apresentados, acarreta sem dúvida, a nulidade do procedimento, conforme requer a seguir.</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4. DO REQUERIMENTO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Por todo o exposto, chega-se à conclusão de que a empresa classifica não preenche requisitos,</w:t>
            </w:r>
            <w:r>
              <w:rPr>
                <w:rFonts w:ascii="Verdana" w:eastAsia="Times New Roman" w:hAnsi="Verdana" w:cs="Times New Roman"/>
                <w:color w:val="000000"/>
                <w:sz w:val="17"/>
                <w:szCs w:val="17"/>
                <w:lang w:eastAsia="pt-BR"/>
              </w:rPr>
              <w:t xml:space="preserve"> </w:t>
            </w:r>
            <w:r w:rsidRPr="00FE765E">
              <w:rPr>
                <w:rFonts w:ascii="Verdana" w:eastAsia="Times New Roman" w:hAnsi="Verdana" w:cs="Times New Roman"/>
                <w:color w:val="000000"/>
                <w:sz w:val="17"/>
                <w:szCs w:val="17"/>
                <w:lang w:eastAsia="pt-BR"/>
              </w:rPr>
              <w:t>conforme exposto acima, para o serviço objeto da licitação.</w:t>
            </w:r>
          </w:p>
          <w:p w:rsidR="00FE765E" w:rsidRDefault="00FE765E" w:rsidP="00FE765E">
            <w:pPr>
              <w:spacing w:after="0" w:line="240" w:lineRule="auto"/>
              <w:jc w:val="both"/>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t>Por isso, REQUER-SE de Vossa Senhoria:</w:t>
            </w:r>
          </w:p>
          <w:p w:rsidR="00FE765E" w:rsidRPr="00FE765E" w:rsidRDefault="00FE765E" w:rsidP="00FE765E">
            <w:pPr>
              <w:spacing w:after="0" w:line="240" w:lineRule="auto"/>
              <w:jc w:val="both"/>
              <w:rPr>
                <w:rFonts w:ascii="Verdana" w:eastAsia="Times New Roman" w:hAnsi="Verdana" w:cs="Times New Roman"/>
                <w:color w:val="000000"/>
                <w:sz w:val="17"/>
                <w:szCs w:val="17"/>
                <w:lang w:eastAsia="pt-BR"/>
              </w:rPr>
            </w:pPr>
            <w:bookmarkStart w:id="0" w:name="_GoBack"/>
            <w:bookmarkEnd w:id="0"/>
            <w:r w:rsidRPr="00FE765E">
              <w:rPr>
                <w:rFonts w:ascii="Verdana" w:eastAsia="Times New Roman" w:hAnsi="Verdana" w:cs="Times New Roman"/>
                <w:color w:val="000000"/>
                <w:sz w:val="17"/>
                <w:szCs w:val="17"/>
                <w:lang w:eastAsia="pt-BR"/>
              </w:rPr>
              <w:t xml:space="preserve">Seja recebido e considerado tempestivo o presente recurso para, ao final, ser julgado procedente com a </w:t>
            </w:r>
            <w:proofErr w:type="spellStart"/>
            <w:r w:rsidRPr="00FE765E">
              <w:rPr>
                <w:rFonts w:ascii="Verdana" w:eastAsia="Times New Roman" w:hAnsi="Verdana" w:cs="Times New Roman"/>
                <w:color w:val="000000"/>
                <w:sz w:val="17"/>
                <w:szCs w:val="17"/>
                <w:lang w:eastAsia="pt-BR"/>
              </w:rPr>
              <w:t>conseqüente</w:t>
            </w:r>
            <w:proofErr w:type="spellEnd"/>
            <w:r w:rsidRPr="00FE765E">
              <w:rPr>
                <w:rFonts w:ascii="Verdana" w:eastAsia="Times New Roman" w:hAnsi="Verdana" w:cs="Times New Roman"/>
                <w:color w:val="000000"/>
                <w:sz w:val="17"/>
                <w:szCs w:val="17"/>
                <w:lang w:eastAsia="pt-BR"/>
              </w:rPr>
              <w:t xml:space="preserve"> desclassificação da empresa MARTIN LOG TRANSPORTES E SERVIÇOS LTDA nos termos aqui discutidos, já que no regulamento das contratações é evidenciado que a licitação deve se ater ao princípio da legalidade e da vinculação ao instrumento convocatório.</w:t>
            </w:r>
            <w:r w:rsidRPr="00FE765E">
              <w:rPr>
                <w:rFonts w:ascii="Verdana" w:eastAsia="Times New Roman" w:hAnsi="Verdana" w:cs="Times New Roman"/>
                <w:color w:val="000000"/>
                <w:sz w:val="17"/>
                <w:szCs w:val="17"/>
                <w:lang w:eastAsia="pt-BR"/>
              </w:rPr>
              <w:br/>
            </w:r>
            <w:r w:rsidRPr="00FE765E">
              <w:rPr>
                <w:rFonts w:ascii="Verdana" w:eastAsia="Times New Roman" w:hAnsi="Verdana" w:cs="Times New Roman"/>
                <w:color w:val="000000"/>
                <w:sz w:val="17"/>
                <w:szCs w:val="17"/>
                <w:lang w:eastAsia="pt-BR"/>
              </w:rPr>
              <w:br/>
              <w:t>Sendo isto, peço deferimento.</w:t>
            </w:r>
          </w:p>
        </w:tc>
      </w:tr>
      <w:tr w:rsidR="00FE765E" w:rsidRPr="00FE765E" w:rsidTr="00FE765E">
        <w:trPr>
          <w:tblCellSpacing w:w="7" w:type="dxa"/>
        </w:trPr>
        <w:tc>
          <w:tcPr>
            <w:tcW w:w="0" w:type="auto"/>
            <w:shd w:val="clear" w:color="auto" w:fill="FFFFFF"/>
            <w:hideMark/>
          </w:tcPr>
          <w:p w:rsidR="00FE765E" w:rsidRPr="00FE765E" w:rsidRDefault="00FE765E" w:rsidP="00FE765E">
            <w:pPr>
              <w:spacing w:after="0" w:line="240" w:lineRule="auto"/>
              <w:jc w:val="right"/>
              <w:rPr>
                <w:rFonts w:ascii="Verdana" w:eastAsia="Times New Roman" w:hAnsi="Verdana" w:cs="Times New Roman"/>
                <w:color w:val="000000"/>
                <w:sz w:val="17"/>
                <w:szCs w:val="17"/>
                <w:lang w:eastAsia="pt-BR"/>
              </w:rPr>
            </w:pPr>
            <w:r w:rsidRPr="00FE765E">
              <w:rPr>
                <w:rFonts w:ascii="Verdana" w:eastAsia="Times New Roman" w:hAnsi="Verdana" w:cs="Times New Roman"/>
                <w:color w:val="000000"/>
                <w:sz w:val="17"/>
                <w:szCs w:val="17"/>
                <w:lang w:eastAsia="pt-BR"/>
              </w:rPr>
              <w:lastRenderedPageBreak/>
              <w:t> </w:t>
            </w:r>
          </w:p>
        </w:tc>
        <w:tc>
          <w:tcPr>
            <w:tcW w:w="0" w:type="auto"/>
            <w:shd w:val="clear" w:color="auto" w:fill="FFFFFF"/>
            <w:vAlign w:val="center"/>
            <w:hideMark/>
          </w:tcPr>
          <w:p w:rsidR="00FE765E" w:rsidRPr="00FE765E" w:rsidRDefault="00FE765E" w:rsidP="00FE765E">
            <w:pPr>
              <w:spacing w:after="0" w:line="240" w:lineRule="auto"/>
              <w:jc w:val="right"/>
              <w:rPr>
                <w:rFonts w:ascii="Verdana" w:eastAsia="Times New Roman" w:hAnsi="Verdana" w:cs="Times New Roman"/>
                <w:color w:val="000000"/>
                <w:sz w:val="17"/>
                <w:szCs w:val="17"/>
                <w:lang w:eastAsia="pt-BR"/>
              </w:rPr>
            </w:pPr>
          </w:p>
        </w:tc>
        <w:tc>
          <w:tcPr>
            <w:tcW w:w="0" w:type="auto"/>
            <w:shd w:val="clear" w:color="auto" w:fill="FFFFFF"/>
            <w:vAlign w:val="center"/>
            <w:hideMark/>
          </w:tcPr>
          <w:p w:rsidR="00FE765E" w:rsidRPr="00FE765E" w:rsidRDefault="00FE765E" w:rsidP="00FE765E">
            <w:pPr>
              <w:spacing w:after="0" w:line="240" w:lineRule="auto"/>
              <w:jc w:val="both"/>
              <w:rPr>
                <w:rFonts w:ascii="Times New Roman" w:eastAsia="Times New Roman" w:hAnsi="Times New Roman" w:cs="Times New Roman"/>
                <w:sz w:val="20"/>
                <w:szCs w:val="20"/>
                <w:lang w:eastAsia="pt-BR"/>
              </w:rPr>
            </w:pPr>
          </w:p>
        </w:tc>
        <w:tc>
          <w:tcPr>
            <w:tcW w:w="0" w:type="auto"/>
            <w:shd w:val="clear" w:color="auto" w:fill="FFFFFF"/>
            <w:vAlign w:val="center"/>
            <w:hideMark/>
          </w:tcPr>
          <w:p w:rsidR="00FE765E" w:rsidRPr="00FE765E" w:rsidRDefault="00FE765E" w:rsidP="00FE765E">
            <w:pPr>
              <w:spacing w:after="0" w:line="240" w:lineRule="auto"/>
              <w:jc w:val="both"/>
              <w:rPr>
                <w:rFonts w:ascii="Times New Roman" w:eastAsia="Times New Roman" w:hAnsi="Times New Roman" w:cs="Times New Roman"/>
                <w:sz w:val="20"/>
                <w:szCs w:val="20"/>
                <w:lang w:eastAsia="pt-BR"/>
              </w:rPr>
            </w:pPr>
          </w:p>
        </w:tc>
        <w:tc>
          <w:tcPr>
            <w:tcW w:w="0" w:type="auto"/>
            <w:shd w:val="clear" w:color="auto" w:fill="FFFFFF"/>
            <w:vAlign w:val="center"/>
            <w:hideMark/>
          </w:tcPr>
          <w:p w:rsidR="00FE765E" w:rsidRPr="00FE765E" w:rsidRDefault="00FE765E" w:rsidP="00FE765E">
            <w:pPr>
              <w:spacing w:after="0" w:line="240" w:lineRule="auto"/>
              <w:jc w:val="both"/>
              <w:rPr>
                <w:rFonts w:ascii="Times New Roman" w:eastAsia="Times New Roman" w:hAnsi="Times New Roman" w:cs="Times New Roman"/>
                <w:sz w:val="20"/>
                <w:szCs w:val="20"/>
                <w:lang w:eastAsia="pt-BR"/>
              </w:rPr>
            </w:pPr>
          </w:p>
        </w:tc>
      </w:tr>
    </w:tbl>
    <w:p w:rsidR="00C2138D" w:rsidRDefault="00C2138D"/>
    <w:sectPr w:rsidR="00C2138D" w:rsidSect="00C2138D">
      <w:pgSz w:w="11907" w:h="16840" w:code="9"/>
      <w:pgMar w:top="1117" w:right="1327" w:bottom="1259" w:left="1701" w:header="284"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5E"/>
    <w:rsid w:val="000C7083"/>
    <w:rsid w:val="00103F9E"/>
    <w:rsid w:val="002419D5"/>
    <w:rsid w:val="003303CA"/>
    <w:rsid w:val="00472797"/>
    <w:rsid w:val="005D7552"/>
    <w:rsid w:val="006D49FC"/>
    <w:rsid w:val="006D5010"/>
    <w:rsid w:val="00887EDE"/>
    <w:rsid w:val="008C46E6"/>
    <w:rsid w:val="009A2721"/>
    <w:rsid w:val="00A27E78"/>
    <w:rsid w:val="00AA0659"/>
    <w:rsid w:val="00B368BA"/>
    <w:rsid w:val="00C2138D"/>
    <w:rsid w:val="00EA04A2"/>
    <w:rsid w:val="00F1469D"/>
    <w:rsid w:val="00F4310B"/>
    <w:rsid w:val="00FE7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E3707-057E-41FB-990C-317BEA22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FE765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E765E"/>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FE765E"/>
    <w:rPr>
      <w:b/>
      <w:bCs/>
    </w:rPr>
  </w:style>
  <w:style w:type="paragraph" w:styleId="PargrafodaLista">
    <w:name w:val="List Paragraph"/>
    <w:basedOn w:val="Normal"/>
    <w:uiPriority w:val="34"/>
    <w:qFormat/>
    <w:rsid w:val="00FE7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1743</Words>
  <Characters>9413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Barbosa</dc:creator>
  <cp:keywords/>
  <dc:description/>
  <cp:lastModifiedBy>Cristina Barbosa</cp:lastModifiedBy>
  <cp:revision>1</cp:revision>
  <dcterms:created xsi:type="dcterms:W3CDTF">2020-03-16T11:24:00Z</dcterms:created>
  <dcterms:modified xsi:type="dcterms:W3CDTF">2020-03-16T11:30:00Z</dcterms:modified>
</cp:coreProperties>
</file>