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3A" w:rsidRDefault="00F14C3A">
      <w:pPr>
        <w:spacing w:after="0"/>
        <w:jc w:val="both"/>
        <w:rPr>
          <w:rFonts w:ascii="Times New Roman" w:hAnsi="Times New Roman" w:cs="Times New Roman"/>
          <w:b/>
        </w:rPr>
      </w:pPr>
    </w:p>
    <w:p w:rsidR="00F14C3A" w:rsidRDefault="00F14C3A">
      <w:pPr>
        <w:spacing w:after="0"/>
        <w:jc w:val="both"/>
        <w:rPr>
          <w:rFonts w:ascii="Times New Roman" w:hAnsi="Times New Roman" w:cs="Times New Roman"/>
          <w:b/>
        </w:rPr>
      </w:pPr>
    </w:p>
    <w:p w:rsidR="00F14C3A" w:rsidRDefault="00F14C3A">
      <w:pPr>
        <w:spacing w:after="0"/>
        <w:jc w:val="both"/>
        <w:rPr>
          <w:rFonts w:ascii="Times New Roman" w:hAnsi="Times New Roman" w:cs="Times New Roman"/>
          <w:b/>
        </w:rPr>
      </w:pPr>
    </w:p>
    <w:p w:rsidR="00F14C3A" w:rsidRDefault="00F14C3A">
      <w:pPr>
        <w:spacing w:after="0"/>
        <w:jc w:val="both"/>
        <w:rPr>
          <w:rFonts w:ascii="Times New Roman" w:hAnsi="Times New Roman" w:cs="Times New Roman"/>
          <w:b/>
        </w:rPr>
      </w:pPr>
    </w:p>
    <w:p w:rsidR="00F14C3A" w:rsidRDefault="00F14C3A">
      <w:pPr>
        <w:spacing w:after="0"/>
        <w:jc w:val="both"/>
        <w:rPr>
          <w:rFonts w:ascii="Times New Roman" w:hAnsi="Times New Roman" w:cs="Times New Roman"/>
          <w:b/>
        </w:rPr>
      </w:pPr>
    </w:p>
    <w:p w:rsidR="00F14C3A" w:rsidRDefault="00F14C3A">
      <w:pPr>
        <w:spacing w:after="0"/>
        <w:jc w:val="both"/>
        <w:rPr>
          <w:rFonts w:ascii="Times New Roman" w:hAnsi="Times New Roman" w:cs="Times New Roman"/>
          <w:b/>
        </w:rPr>
      </w:pPr>
    </w:p>
    <w:p w:rsidR="00F14C3A" w:rsidRDefault="0093202A">
      <w:pPr>
        <w:spacing w:after="0"/>
        <w:jc w:val="both"/>
        <w:rPr>
          <w:rFonts w:ascii="Times New Roman" w:hAnsi="Times New Roman" w:cs="Times New Roman"/>
          <w:bCs/>
        </w:rPr>
      </w:pPr>
      <w:r>
        <w:rPr>
          <w:rFonts w:ascii="Times New Roman" w:hAnsi="Times New Roman" w:cs="Times New Roman"/>
          <w:b/>
        </w:rPr>
        <w:t xml:space="preserve">Processo nº </w:t>
      </w:r>
      <w:r>
        <w:rPr>
          <w:rFonts w:ascii="Times New Roman" w:hAnsi="Times New Roman" w:cs="Times New Roman"/>
          <w:bCs/>
        </w:rPr>
        <w:t>0</w:t>
      </w:r>
      <w:r>
        <w:rPr>
          <w:rFonts w:ascii="Times New Roman" w:hAnsi="Times New Roman" w:cs="Times New Roman"/>
          <w:bCs/>
        </w:rPr>
        <w:t>5800.051802/2019</w:t>
      </w:r>
    </w:p>
    <w:p w:rsidR="00F14C3A" w:rsidRDefault="0093202A">
      <w:pPr>
        <w:spacing w:after="0"/>
        <w:jc w:val="both"/>
        <w:rPr>
          <w:rFonts w:ascii="Times New Roman" w:hAnsi="Times New Roman" w:cs="Times New Roman"/>
        </w:rPr>
      </w:pPr>
      <w:r>
        <w:rPr>
          <w:rFonts w:ascii="Times New Roman" w:hAnsi="Times New Roman" w:cs="Times New Roman"/>
          <w:b/>
        </w:rPr>
        <w:t>Interessado(a):</w:t>
      </w:r>
      <w:r>
        <w:rPr>
          <w:rFonts w:ascii="Times New Roman" w:hAnsi="Times New Roman" w:cs="Times New Roman"/>
        </w:rPr>
        <w:t xml:space="preserve"> S</w:t>
      </w:r>
      <w:r>
        <w:rPr>
          <w:rFonts w:ascii="Times New Roman" w:hAnsi="Times New Roman" w:cs="Times New Roman"/>
        </w:rPr>
        <w:t>ecretaria Municipal Saúde</w:t>
      </w:r>
    </w:p>
    <w:p w:rsidR="00F14C3A" w:rsidRDefault="0093202A">
      <w:pPr>
        <w:spacing w:after="0"/>
        <w:jc w:val="both"/>
        <w:rPr>
          <w:rFonts w:ascii="Times New Roman" w:hAnsi="Times New Roman" w:cs="Times New Roman"/>
          <w:bCs/>
        </w:rPr>
      </w:pPr>
      <w:r>
        <w:rPr>
          <w:rFonts w:ascii="Times New Roman" w:hAnsi="Times New Roman" w:cs="Times New Roman"/>
          <w:b/>
        </w:rPr>
        <w:t>Assunto</w:t>
      </w:r>
      <w:r>
        <w:rPr>
          <w:rFonts w:ascii="Times New Roman" w:hAnsi="Times New Roman" w:cs="Times New Roman"/>
          <w:bCs/>
        </w:rPr>
        <w:t xml:space="preserve">: </w:t>
      </w:r>
      <w:r w:rsidRPr="005A3826">
        <w:rPr>
          <w:rFonts w:ascii="Times New Roman" w:hAnsi="Times New Roman" w:cs="Times New Roman"/>
          <w:bCs/>
          <w:lang w:eastAsia="zh-CN"/>
        </w:rPr>
        <w:t xml:space="preserve">Contratação de empresa no ramo da construção civil para execução de serviços de reforma da Unidade Básica de Saúde José Araújo Silva localizada no bairro do </w:t>
      </w:r>
      <w:r w:rsidRPr="005A3826">
        <w:rPr>
          <w:rFonts w:ascii="Times New Roman" w:hAnsi="Times New Roman" w:cs="Times New Roman"/>
          <w:bCs/>
          <w:lang w:eastAsia="zh-CN"/>
        </w:rPr>
        <w:t>Jacintinho, Maceió/AL</w:t>
      </w:r>
    </w:p>
    <w:p w:rsidR="00F14C3A" w:rsidRDefault="00F14C3A">
      <w:pPr>
        <w:spacing w:after="0"/>
        <w:jc w:val="both"/>
        <w:rPr>
          <w:rFonts w:ascii="Times New Roman" w:hAnsi="Times New Roman" w:cs="Times New Roman"/>
        </w:rPr>
      </w:pPr>
    </w:p>
    <w:p w:rsidR="00F14C3A" w:rsidRDefault="00F14C3A">
      <w:pPr>
        <w:spacing w:after="0" w:line="240" w:lineRule="auto"/>
        <w:jc w:val="both"/>
        <w:rPr>
          <w:rFonts w:ascii="Times New Roman" w:hAnsi="Times New Roman" w:cs="Times New Roman"/>
        </w:rPr>
      </w:pPr>
    </w:p>
    <w:p w:rsidR="00F14C3A" w:rsidRDefault="00F14C3A">
      <w:pPr>
        <w:spacing w:after="0" w:line="240" w:lineRule="auto"/>
        <w:jc w:val="both"/>
        <w:rPr>
          <w:rFonts w:ascii="Times New Roman" w:hAnsi="Times New Roman" w:cs="Times New Roman"/>
        </w:rPr>
      </w:pPr>
    </w:p>
    <w:p w:rsidR="00F14C3A" w:rsidRDefault="0093202A">
      <w:pPr>
        <w:spacing w:after="0" w:line="240" w:lineRule="auto"/>
        <w:jc w:val="center"/>
        <w:rPr>
          <w:rFonts w:ascii="Times New Roman" w:hAnsi="Times New Roman" w:cs="Times New Roman"/>
          <w:b/>
          <w:bCs/>
        </w:rPr>
      </w:pPr>
      <w:r>
        <w:rPr>
          <w:rFonts w:ascii="Times New Roman" w:hAnsi="Times New Roman" w:cs="Times New Roman"/>
          <w:b/>
          <w:bCs/>
        </w:rPr>
        <w:t>DECISÃO TP Nº. 08/2020</w:t>
      </w:r>
    </w:p>
    <w:p w:rsidR="00F14C3A" w:rsidRDefault="00F14C3A">
      <w:pPr>
        <w:spacing w:after="0" w:line="240" w:lineRule="auto"/>
        <w:jc w:val="center"/>
        <w:rPr>
          <w:rFonts w:ascii="Times New Roman" w:hAnsi="Times New Roman" w:cs="Times New Roman"/>
          <w:b/>
          <w:bCs/>
        </w:rPr>
      </w:pPr>
    </w:p>
    <w:p w:rsidR="00F14C3A" w:rsidRDefault="00F14C3A">
      <w:pPr>
        <w:spacing w:after="0" w:line="240" w:lineRule="auto"/>
        <w:jc w:val="center"/>
        <w:rPr>
          <w:rFonts w:ascii="Times New Roman" w:hAnsi="Times New Roman" w:cs="Times New Roman"/>
          <w:b/>
          <w:bCs/>
        </w:rPr>
      </w:pPr>
    </w:p>
    <w:p w:rsidR="00F14C3A" w:rsidRDefault="00F14C3A">
      <w:pPr>
        <w:spacing w:after="0" w:line="240" w:lineRule="auto"/>
        <w:jc w:val="center"/>
        <w:rPr>
          <w:rFonts w:ascii="Times New Roman" w:hAnsi="Times New Roman" w:cs="Times New Roman"/>
          <w:b/>
          <w:bCs/>
        </w:rPr>
      </w:pPr>
    </w:p>
    <w:p w:rsidR="00F14C3A" w:rsidRDefault="0093202A">
      <w:pPr>
        <w:spacing w:after="0" w:line="360" w:lineRule="auto"/>
        <w:jc w:val="both"/>
        <w:rPr>
          <w:rFonts w:ascii="Times New Roman" w:hAnsi="Times New Roman" w:cs="Times New Roman"/>
          <w:b/>
          <w:bCs/>
          <w:u w:val="single"/>
        </w:rPr>
      </w:pPr>
      <w:r>
        <w:rPr>
          <w:rFonts w:ascii="Times New Roman" w:hAnsi="Times New Roman" w:cs="Times New Roman"/>
          <w:b/>
          <w:bCs/>
          <w:u w:val="single"/>
        </w:rPr>
        <w:t>RELATÓRIO</w:t>
      </w:r>
    </w:p>
    <w:p w:rsidR="00F14C3A" w:rsidRDefault="00F14C3A">
      <w:pPr>
        <w:spacing w:after="0" w:line="360" w:lineRule="auto"/>
        <w:jc w:val="both"/>
        <w:rPr>
          <w:rFonts w:ascii="Times New Roman" w:hAnsi="Times New Roman" w:cs="Times New Roman"/>
          <w:b/>
          <w:bCs/>
          <w:u w:val="single"/>
        </w:rPr>
      </w:pPr>
    </w:p>
    <w:p w:rsidR="00F14C3A" w:rsidRDefault="00F14C3A">
      <w:pPr>
        <w:spacing w:after="0" w:line="360" w:lineRule="auto"/>
        <w:jc w:val="both"/>
        <w:rPr>
          <w:rFonts w:ascii="Times New Roman" w:hAnsi="Times New Roman" w:cs="Times New Roman"/>
        </w:rPr>
      </w:pPr>
    </w:p>
    <w:p w:rsidR="00F14C3A" w:rsidRDefault="0093202A">
      <w:pPr>
        <w:numPr>
          <w:ilvl w:val="0"/>
          <w:numId w:val="1"/>
        </w:numPr>
        <w:spacing w:after="0" w:line="360" w:lineRule="auto"/>
        <w:jc w:val="both"/>
        <w:rPr>
          <w:rFonts w:ascii="Times New Roman" w:hAnsi="Times New Roman" w:cs="Times New Roman"/>
        </w:rPr>
      </w:pPr>
      <w:r>
        <w:rPr>
          <w:rFonts w:ascii="Times New Roman" w:hAnsi="Times New Roman" w:cs="Times New Roman"/>
        </w:rPr>
        <w:t>A presente decisão refere-se à fase externa do procedimento licitatório na modalidade tomada de preço do tipo menor preço sob o regime de execução indireta de empreitada por preço unitário, que</w:t>
      </w:r>
      <w:r>
        <w:rPr>
          <w:rFonts w:ascii="Times New Roman" w:hAnsi="Times New Roman" w:cs="Times New Roman"/>
        </w:rPr>
        <w:t xml:space="preserve"> tem por objeto </w:t>
      </w:r>
      <w:r>
        <w:rPr>
          <w:rFonts w:ascii="Times New Roman" w:hAnsi="Times New Roman" w:cs="Times New Roman"/>
          <w:lang w:eastAsia="zh-CN"/>
        </w:rPr>
        <w:t>Contratação de empresa no ramo da construção civil para execução de serviços de reforma da Unidade Básica de Saúde José Araújo Silva localizada no bairro do Jacintinho, Maceió/AL.</w:t>
      </w:r>
    </w:p>
    <w:p w:rsidR="00F14C3A" w:rsidRDefault="0093202A">
      <w:pPr>
        <w:numPr>
          <w:ilvl w:val="0"/>
          <w:numId w:val="1"/>
        </w:numPr>
        <w:spacing w:after="0" w:line="360" w:lineRule="auto"/>
        <w:jc w:val="both"/>
        <w:rPr>
          <w:rFonts w:ascii="Times New Roman" w:hAnsi="Times New Roman" w:cs="Times New Roman"/>
        </w:rPr>
      </w:pPr>
      <w:r>
        <w:rPr>
          <w:rFonts w:ascii="Times New Roman" w:hAnsi="Times New Roman" w:cs="Times New Roman"/>
        </w:rPr>
        <w:t>A sessão inaugural realizada no dia 13 (treze) de março 2020</w:t>
      </w:r>
      <w:r>
        <w:rPr>
          <w:rFonts w:ascii="Times New Roman" w:hAnsi="Times New Roman" w:cs="Times New Roman"/>
        </w:rPr>
        <w:t>, publicada no Diário Oficial do Município. Conforme depreende-se da Ata acostada aos autos, contou com a presença das empresas interessadas: Construtora Albuquerque LTDA., PROENGE Construtora LTDA. e Boa Terra Construções.</w:t>
      </w:r>
    </w:p>
    <w:p w:rsidR="00F14C3A" w:rsidRDefault="0093202A">
      <w:pPr>
        <w:numPr>
          <w:ilvl w:val="0"/>
          <w:numId w:val="1"/>
        </w:numPr>
        <w:spacing w:after="0" w:line="360" w:lineRule="auto"/>
        <w:jc w:val="both"/>
        <w:rPr>
          <w:rFonts w:ascii="Times New Roman" w:hAnsi="Times New Roman" w:cs="Times New Roman"/>
        </w:rPr>
      </w:pPr>
      <w:r>
        <w:rPr>
          <w:rFonts w:ascii="Times New Roman" w:hAnsi="Times New Roman" w:cs="Times New Roman"/>
          <w:b/>
          <w:bCs/>
        </w:rPr>
        <w:t>Na fase de credenciamento</w:t>
      </w:r>
      <w:r>
        <w:rPr>
          <w:rFonts w:ascii="Times New Roman" w:hAnsi="Times New Roman" w:cs="Times New Roman"/>
        </w:rPr>
        <w:t xml:space="preserve"> duas empresas interessadas foram credenciadas: </w:t>
      </w:r>
      <w:r>
        <w:rPr>
          <w:rFonts w:ascii="Times New Roman" w:hAnsi="Times New Roman" w:cs="Times New Roman"/>
          <w:b/>
          <w:bCs/>
        </w:rPr>
        <w:t>PROENGE Construtora LTDA. e Boa Terra Construções</w:t>
      </w:r>
      <w:r>
        <w:rPr>
          <w:rFonts w:ascii="Times New Roman" w:hAnsi="Times New Roman" w:cs="Times New Roman"/>
        </w:rPr>
        <w:t xml:space="preserve">. Cumpre destacar que  os envelopes de habilitação e preço da empresa </w:t>
      </w:r>
      <w:r>
        <w:rPr>
          <w:rFonts w:ascii="Times New Roman" w:hAnsi="Times New Roman" w:cs="Times New Roman"/>
          <w:b/>
          <w:bCs/>
        </w:rPr>
        <w:t>Construtora Albuquerque LTDA</w:t>
      </w:r>
      <w:r>
        <w:rPr>
          <w:rFonts w:ascii="Times New Roman" w:hAnsi="Times New Roman" w:cs="Times New Roman"/>
        </w:rPr>
        <w:t xml:space="preserve"> foram entregues à CPLOSE, tendo sido lavrada a competente ce</w:t>
      </w:r>
      <w:r>
        <w:rPr>
          <w:rFonts w:ascii="Times New Roman" w:hAnsi="Times New Roman" w:cs="Times New Roman"/>
        </w:rPr>
        <w:t>rtidão presente nos autos administrativos</w:t>
      </w:r>
    </w:p>
    <w:p w:rsidR="00F14C3A" w:rsidRDefault="0093202A">
      <w:pPr>
        <w:numPr>
          <w:ilvl w:val="0"/>
          <w:numId w:val="1"/>
        </w:numPr>
        <w:spacing w:after="0" w:line="360" w:lineRule="auto"/>
        <w:jc w:val="both"/>
        <w:rPr>
          <w:rFonts w:ascii="Times New Roman" w:hAnsi="Times New Roman" w:cs="Times New Roman"/>
          <w:b/>
          <w:bCs/>
          <w:u w:val="single"/>
        </w:rPr>
      </w:pPr>
      <w:r>
        <w:rPr>
          <w:rFonts w:ascii="Times New Roman" w:hAnsi="Times New Roman" w:cs="Times New Roman"/>
          <w:b/>
          <w:bCs/>
        </w:rPr>
        <w:t>Na fase de habilitação foram declaradas habilitadas:</w:t>
      </w:r>
      <w:r>
        <w:rPr>
          <w:rFonts w:ascii="Times New Roman" w:hAnsi="Times New Roman" w:cs="Times New Roman"/>
        </w:rPr>
        <w:t>Construtora Albuquerque LTDA., PROENGE Construtora LTDA. e Boa Terra Construções.</w:t>
      </w:r>
    </w:p>
    <w:p w:rsidR="00F14C3A" w:rsidRDefault="00F14C3A">
      <w:pPr>
        <w:spacing w:after="0" w:line="360" w:lineRule="auto"/>
        <w:jc w:val="both"/>
        <w:rPr>
          <w:rFonts w:ascii="Times New Roman" w:hAnsi="Times New Roman" w:cs="Times New Roman"/>
          <w:b/>
          <w:bCs/>
          <w:u w:val="single"/>
        </w:rPr>
      </w:pPr>
    </w:p>
    <w:p w:rsidR="00F14C3A" w:rsidRDefault="00F14C3A">
      <w:pPr>
        <w:spacing w:after="0" w:line="360" w:lineRule="auto"/>
        <w:jc w:val="both"/>
        <w:rPr>
          <w:rFonts w:ascii="Times New Roman" w:hAnsi="Times New Roman" w:cs="Times New Roman"/>
          <w:b/>
          <w:bCs/>
          <w:u w:val="single"/>
        </w:rPr>
      </w:pPr>
    </w:p>
    <w:p w:rsidR="00F14C3A" w:rsidRDefault="00F14C3A">
      <w:pPr>
        <w:spacing w:after="0" w:line="360" w:lineRule="auto"/>
        <w:jc w:val="both"/>
        <w:rPr>
          <w:rFonts w:ascii="Times New Roman" w:hAnsi="Times New Roman" w:cs="Times New Roman"/>
          <w:b/>
          <w:bCs/>
          <w:u w:val="single"/>
        </w:rPr>
      </w:pPr>
    </w:p>
    <w:p w:rsidR="00F14C3A" w:rsidRDefault="0093202A">
      <w:pPr>
        <w:spacing w:after="0" w:line="360" w:lineRule="auto"/>
        <w:jc w:val="both"/>
        <w:rPr>
          <w:rFonts w:ascii="Times New Roman" w:hAnsi="Times New Roman" w:cs="Times New Roman"/>
          <w:b/>
          <w:bCs/>
          <w:u w:val="single"/>
        </w:rPr>
      </w:pPr>
      <w:r>
        <w:rPr>
          <w:rFonts w:ascii="Times New Roman" w:hAnsi="Times New Roman" w:cs="Times New Roman"/>
          <w:b/>
          <w:bCs/>
          <w:u w:val="single"/>
        </w:rPr>
        <w:t>DA ANÁLISE DAS PROPOSTAS DE PREÇO</w:t>
      </w:r>
    </w:p>
    <w:p w:rsidR="00F14C3A" w:rsidRDefault="00F14C3A">
      <w:pPr>
        <w:spacing w:after="0" w:line="360" w:lineRule="auto"/>
        <w:jc w:val="both"/>
        <w:rPr>
          <w:rFonts w:ascii="Times New Roman" w:hAnsi="Times New Roman" w:cs="Times New Roman"/>
          <w:b/>
          <w:bCs/>
          <w:u w:val="single"/>
        </w:rPr>
      </w:pPr>
    </w:p>
    <w:p w:rsidR="00F14C3A" w:rsidRDefault="0093202A">
      <w:pPr>
        <w:numPr>
          <w:ilvl w:val="0"/>
          <w:numId w:val="1"/>
        </w:numPr>
        <w:spacing w:after="0" w:line="360" w:lineRule="auto"/>
        <w:jc w:val="both"/>
        <w:rPr>
          <w:rFonts w:ascii="Times New Roman" w:hAnsi="Times New Roman" w:cs="Times New Roman"/>
        </w:rPr>
      </w:pPr>
      <w:r>
        <w:rPr>
          <w:rFonts w:ascii="Times New Roman" w:hAnsi="Times New Roman" w:cs="Times New Roman"/>
          <w:b/>
          <w:bCs/>
        </w:rPr>
        <w:t xml:space="preserve">Na fase de abertura de </w:t>
      </w:r>
      <w:r>
        <w:rPr>
          <w:rFonts w:ascii="Times New Roman" w:hAnsi="Times New Roman" w:cs="Times New Roman"/>
          <w:b/>
        </w:rPr>
        <w:t>proposta de preço</w:t>
      </w:r>
      <w:r>
        <w:rPr>
          <w:rFonts w:ascii="Times New Roman" w:hAnsi="Times New Roman" w:cs="Times New Roman"/>
        </w:rPr>
        <w:t xml:space="preserve">, </w:t>
      </w:r>
      <w:r>
        <w:rPr>
          <w:rFonts w:ascii="Times New Roman" w:hAnsi="Times New Roman" w:cs="Times New Roman"/>
        </w:rPr>
        <w:t xml:space="preserve">as empresas habilitadas </w:t>
      </w:r>
      <w:r>
        <w:rPr>
          <w:rFonts w:ascii="Times New Roman" w:hAnsi="Times New Roman" w:cs="Times New Roman"/>
        </w:rPr>
        <w:t>apresent</w:t>
      </w:r>
      <w:r>
        <w:rPr>
          <w:rFonts w:ascii="Times New Roman" w:hAnsi="Times New Roman" w:cs="Times New Roman"/>
        </w:rPr>
        <w:t>aramas</w:t>
      </w:r>
      <w:r>
        <w:rPr>
          <w:rFonts w:ascii="Times New Roman" w:hAnsi="Times New Roman" w:cs="Times New Roman"/>
        </w:rPr>
        <w:t xml:space="preserve"> seguinte</w:t>
      </w:r>
      <w:r>
        <w:rPr>
          <w:rFonts w:ascii="Times New Roman" w:hAnsi="Times New Roman" w:cs="Times New Roman"/>
        </w:rPr>
        <w:t>s</w:t>
      </w:r>
      <w:r>
        <w:rPr>
          <w:rFonts w:ascii="Times New Roman" w:hAnsi="Times New Roman" w:cs="Times New Roman"/>
        </w:rPr>
        <w:t xml:space="preserve"> proposta</w:t>
      </w:r>
      <w:r>
        <w:rPr>
          <w:rFonts w:ascii="Times New Roman" w:hAnsi="Times New Roman" w:cs="Times New Roman"/>
        </w:rPr>
        <w:t xml:space="preserve">s: </w:t>
      </w:r>
    </w:p>
    <w:tbl>
      <w:tblPr>
        <w:tblStyle w:val="Tabelacomgrade"/>
        <w:tblW w:w="8277" w:type="dxa"/>
        <w:jc w:val="center"/>
        <w:tblLook w:val="04A0"/>
      </w:tblPr>
      <w:tblGrid>
        <w:gridCol w:w="4992"/>
        <w:gridCol w:w="3285"/>
      </w:tblGrid>
      <w:tr w:rsidR="00F14C3A">
        <w:trPr>
          <w:trHeight w:val="355"/>
          <w:jc w:val="center"/>
        </w:trPr>
        <w:tc>
          <w:tcPr>
            <w:tcW w:w="8276" w:type="dxa"/>
            <w:gridSpan w:val="2"/>
            <w:shd w:val="clear" w:color="auto" w:fill="auto"/>
            <w:vAlign w:val="center"/>
          </w:tcPr>
          <w:p w:rsidR="00F14C3A" w:rsidRDefault="0093202A">
            <w:pPr>
              <w:spacing w:after="0" w:line="360" w:lineRule="auto"/>
              <w:jc w:val="center"/>
              <w:rPr>
                <w:rFonts w:ascii="Times New Roman" w:hAnsi="Times New Roman" w:cs="Times New Roman"/>
                <w:b/>
              </w:rPr>
            </w:pPr>
            <w:r>
              <w:rPr>
                <w:rFonts w:ascii="Times New Roman" w:hAnsi="Times New Roman" w:cs="Times New Roman"/>
                <w:b/>
              </w:rPr>
              <w:t>PREÇOS</w:t>
            </w:r>
          </w:p>
        </w:tc>
      </w:tr>
      <w:tr w:rsidR="00F14C3A">
        <w:trPr>
          <w:trHeight w:val="938"/>
          <w:jc w:val="center"/>
        </w:trPr>
        <w:tc>
          <w:tcPr>
            <w:tcW w:w="4991" w:type="dxa"/>
            <w:shd w:val="clear" w:color="auto" w:fill="auto"/>
            <w:vAlign w:val="center"/>
          </w:tcPr>
          <w:p w:rsidR="00F14C3A" w:rsidRDefault="0093202A">
            <w:pPr>
              <w:spacing w:after="0" w:line="360" w:lineRule="auto"/>
              <w:jc w:val="center"/>
              <w:rPr>
                <w:rFonts w:ascii="Times New Roman" w:hAnsi="Times New Roman" w:cs="Times New Roman"/>
              </w:rPr>
            </w:pPr>
            <w:r>
              <w:rPr>
                <w:rFonts w:ascii="Times New Roman" w:hAnsi="Times New Roman" w:cs="Times New Roman"/>
              </w:rPr>
              <w:t>BOA TERRA</w:t>
            </w:r>
          </w:p>
        </w:tc>
        <w:tc>
          <w:tcPr>
            <w:tcW w:w="3285" w:type="dxa"/>
            <w:shd w:val="clear" w:color="auto" w:fill="auto"/>
            <w:vAlign w:val="center"/>
          </w:tcPr>
          <w:p w:rsidR="00F14C3A" w:rsidRDefault="0093202A">
            <w:pPr>
              <w:spacing w:after="0" w:line="360" w:lineRule="auto"/>
              <w:jc w:val="both"/>
              <w:rPr>
                <w:rFonts w:ascii="Times New Roman" w:hAnsi="Times New Roman" w:cs="Times New Roman"/>
              </w:rPr>
            </w:pPr>
            <w:r>
              <w:rPr>
                <w:rFonts w:ascii="Times New Roman" w:hAnsi="Times New Roman" w:cs="Times New Roman"/>
              </w:rPr>
              <w:t>R$ 797.482,27</w:t>
            </w:r>
          </w:p>
        </w:tc>
      </w:tr>
      <w:tr w:rsidR="00F14C3A">
        <w:trPr>
          <w:trHeight w:val="719"/>
          <w:jc w:val="center"/>
        </w:trPr>
        <w:tc>
          <w:tcPr>
            <w:tcW w:w="4991" w:type="dxa"/>
            <w:shd w:val="clear" w:color="auto" w:fill="auto"/>
            <w:vAlign w:val="center"/>
          </w:tcPr>
          <w:p w:rsidR="00F14C3A" w:rsidRDefault="0093202A">
            <w:pPr>
              <w:spacing w:after="0" w:line="360" w:lineRule="auto"/>
              <w:jc w:val="center"/>
              <w:rPr>
                <w:rFonts w:ascii="Times New Roman" w:hAnsi="Times New Roman" w:cs="Times New Roman"/>
              </w:rPr>
            </w:pPr>
            <w:r>
              <w:rPr>
                <w:rFonts w:ascii="Times New Roman" w:hAnsi="Times New Roman" w:cs="Times New Roman"/>
              </w:rPr>
              <w:t>PROENGE CONSTRUTORA LTDA</w:t>
            </w:r>
          </w:p>
        </w:tc>
        <w:tc>
          <w:tcPr>
            <w:tcW w:w="3285" w:type="dxa"/>
            <w:shd w:val="clear" w:color="auto" w:fill="auto"/>
            <w:vAlign w:val="center"/>
          </w:tcPr>
          <w:p w:rsidR="00F14C3A" w:rsidRDefault="0093202A">
            <w:pPr>
              <w:spacing w:after="0" w:line="360" w:lineRule="auto"/>
              <w:rPr>
                <w:rFonts w:ascii="Times New Roman" w:hAnsi="Times New Roman" w:cs="Times New Roman"/>
              </w:rPr>
            </w:pPr>
            <w:r>
              <w:rPr>
                <w:rFonts w:ascii="Times New Roman" w:hAnsi="Times New Roman" w:cs="Times New Roman"/>
              </w:rPr>
              <w:t>R$ 838.439,51</w:t>
            </w:r>
          </w:p>
        </w:tc>
      </w:tr>
      <w:tr w:rsidR="00F14C3A">
        <w:trPr>
          <w:trHeight w:val="727"/>
          <w:jc w:val="center"/>
        </w:trPr>
        <w:tc>
          <w:tcPr>
            <w:tcW w:w="4991" w:type="dxa"/>
            <w:shd w:val="clear" w:color="auto" w:fill="auto"/>
            <w:vAlign w:val="center"/>
          </w:tcPr>
          <w:p w:rsidR="00F14C3A" w:rsidRDefault="0093202A">
            <w:pPr>
              <w:spacing w:after="0" w:line="360" w:lineRule="auto"/>
              <w:jc w:val="center"/>
              <w:rPr>
                <w:rFonts w:ascii="Times New Roman" w:hAnsi="Times New Roman" w:cs="Times New Roman"/>
              </w:rPr>
            </w:pPr>
            <w:r>
              <w:rPr>
                <w:rFonts w:ascii="Times New Roman" w:hAnsi="Times New Roman" w:cs="Times New Roman"/>
              </w:rPr>
              <w:t>CONSTRUTORA ALBUQUERQUE LTDA</w:t>
            </w:r>
          </w:p>
        </w:tc>
        <w:tc>
          <w:tcPr>
            <w:tcW w:w="3285" w:type="dxa"/>
            <w:shd w:val="clear" w:color="auto" w:fill="auto"/>
            <w:vAlign w:val="center"/>
          </w:tcPr>
          <w:p w:rsidR="00F14C3A" w:rsidRDefault="0093202A">
            <w:pPr>
              <w:spacing w:after="0" w:line="360" w:lineRule="auto"/>
              <w:rPr>
                <w:rFonts w:ascii="Times New Roman" w:hAnsi="Times New Roman" w:cs="Times New Roman"/>
              </w:rPr>
            </w:pPr>
            <w:r>
              <w:rPr>
                <w:rFonts w:ascii="Times New Roman" w:hAnsi="Times New Roman" w:cs="Times New Roman"/>
              </w:rPr>
              <w:t>R$ 875.417,82</w:t>
            </w:r>
          </w:p>
        </w:tc>
      </w:tr>
    </w:tbl>
    <w:p w:rsidR="00F14C3A" w:rsidRDefault="00F14C3A">
      <w:pPr>
        <w:spacing w:after="0" w:line="360" w:lineRule="auto"/>
        <w:jc w:val="both"/>
        <w:rPr>
          <w:rFonts w:ascii="Times New Roman" w:hAnsi="Times New Roman" w:cs="Times New Roman"/>
        </w:rPr>
      </w:pPr>
    </w:p>
    <w:p w:rsidR="00F14C3A" w:rsidRDefault="00F14C3A">
      <w:pPr>
        <w:spacing w:after="0" w:line="360" w:lineRule="auto"/>
        <w:jc w:val="both"/>
        <w:rPr>
          <w:rFonts w:ascii="Times New Roman" w:hAnsi="Times New Roman" w:cs="Times New Roman"/>
          <w:b/>
          <w:bCs/>
          <w:u w:val="single"/>
        </w:rPr>
      </w:pP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Conforme se depreende da planilha acima, a empresa</w:t>
      </w:r>
      <w:r>
        <w:rPr>
          <w:rFonts w:ascii="Times New Roman" w:hAnsi="Times New Roman" w:cs="Times New Roman"/>
          <w:b/>
          <w:bCs/>
        </w:rPr>
        <w:t xml:space="preserve"> BOA TERRA CONSTRUÇÕES </w:t>
      </w:r>
      <w:r>
        <w:rPr>
          <w:rFonts w:ascii="Times New Roman" w:hAnsi="Times New Roman" w:cs="Times New Roman"/>
        </w:rPr>
        <w:t>apresentou o menor preço, e após análise realizada pela equipe técnica da Secretaria Municipal de Saúde com o devido laudo técnico exarado, não foi vislumbrado nenhum problema de ordem técnica, havendo atendimento pleno às regras editalícias, dessa forma r</w:t>
      </w:r>
      <w:r>
        <w:rPr>
          <w:rFonts w:ascii="Times New Roman" w:hAnsi="Times New Roman" w:cs="Times New Roman"/>
        </w:rPr>
        <w:t xml:space="preserve">esta </w:t>
      </w:r>
      <w:r>
        <w:rPr>
          <w:rFonts w:ascii="Times New Roman" w:hAnsi="Times New Roman" w:cs="Times New Roman"/>
          <w:b/>
          <w:bCs/>
        </w:rPr>
        <w:t>CLASSIFICADA</w:t>
      </w:r>
      <w:r>
        <w:rPr>
          <w:rFonts w:ascii="Times New Roman" w:hAnsi="Times New Roman" w:cs="Times New Roman"/>
        </w:rPr>
        <w:t>.</w:t>
      </w:r>
    </w:p>
    <w:p w:rsidR="00F14C3A" w:rsidRDefault="00F14C3A">
      <w:pPr>
        <w:spacing w:after="0" w:line="360" w:lineRule="auto"/>
        <w:jc w:val="both"/>
        <w:rPr>
          <w:rFonts w:cs="Times New Roman"/>
        </w:rPr>
      </w:pP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 xml:space="preserve">A empresa </w:t>
      </w:r>
      <w:r>
        <w:rPr>
          <w:rFonts w:ascii="Times New Roman" w:hAnsi="Times New Roman" w:cs="Times New Roman"/>
          <w:b/>
          <w:bCs/>
        </w:rPr>
        <w:t xml:space="preserve">PROENGE CONSTRUTORA LTDA </w:t>
      </w:r>
      <w:r>
        <w:rPr>
          <w:rFonts w:ascii="Times New Roman" w:hAnsi="Times New Roman" w:cs="Times New Roman"/>
        </w:rPr>
        <w:t>apresentou o segundo menor preço, entretanto o CD com as mídias digitais não possuía gravação, razão pela qual foi diligenciado,  com fulcro no art. 43, §3º da Lei 8.666/93,</w:t>
      </w:r>
      <w:r>
        <w:rPr>
          <w:rFonts w:ascii="Times New Roman" w:hAnsi="Times New Roman" w:cs="Times New Roman"/>
        </w:rPr>
        <w:t xml:space="preserve"> no dia 27 de abril do corrente ano por esta CPLOSE que fosse apresentado para análise o CD correto, todavia, a diligência não foi atendida.</w:t>
      </w: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 xml:space="preserve">Ademais, conforme análise da </w:t>
      </w:r>
      <w:r>
        <w:rPr>
          <w:rFonts w:ascii="Times New Roman" w:hAnsi="Times New Roman" w:cs="Times New Roman"/>
        </w:rPr>
        <w:t>equipe técnica da Secretaria Municipal de Saúde, não foi encontrada na Planilha Orçame</w:t>
      </w:r>
      <w:r>
        <w:rPr>
          <w:rFonts w:ascii="Times New Roman" w:hAnsi="Times New Roman" w:cs="Times New Roman"/>
        </w:rPr>
        <w:t>ntária, o item CONTRAPISO AUTONIVELANTE, APLICADO SOBRE LAJE, ADERIDO, ESPESSURA 2CM, item 9.9 da Planilha Orçamentaria da Administração no valor de R$383,03 (trezentos e oitenta e três reais e três centavos)</w:t>
      </w: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O item 11.2., “c” do edital prevê que “desclass</w:t>
      </w:r>
      <w:r>
        <w:rPr>
          <w:rFonts w:ascii="Times New Roman" w:hAnsi="Times New Roman" w:cs="Times New Roman"/>
        </w:rPr>
        <w:t>ificar-se-á a proposta que não indique todas as informações exigidas ou que não atenda aos critérios insertos nos subitens 9.2, 9.3, 9.4, 9.5 e 9.6 deste edital”, o item 9.2 refere-se à proposta de preço e é bem claro quando exige que a planilha orçamentár</w:t>
      </w:r>
      <w:r>
        <w:rPr>
          <w:rFonts w:ascii="Times New Roman" w:hAnsi="Times New Roman" w:cs="Times New Roman"/>
        </w:rPr>
        <w:t xml:space="preserve">ia deverá ser </w:t>
      </w:r>
      <w:r>
        <w:rPr>
          <w:rFonts w:ascii="Times New Roman" w:hAnsi="Times New Roman" w:cs="Times New Roman"/>
          <w:b/>
          <w:bCs/>
        </w:rPr>
        <w:t>devidamente preenchida</w:t>
      </w:r>
      <w:r>
        <w:rPr>
          <w:rFonts w:ascii="Times New Roman" w:hAnsi="Times New Roman" w:cs="Times New Roman"/>
        </w:rPr>
        <w:t xml:space="preserve"> com clareza, a supressão/omissãoem </w:t>
      </w:r>
      <w:r>
        <w:rPr>
          <w:rFonts w:ascii="Times New Roman" w:hAnsi="Times New Roman" w:cs="Times New Roman"/>
        </w:rPr>
        <w:lastRenderedPageBreak/>
        <w:t xml:space="preserve">virtude da omissão do item assinalado, em descumprimento ao comando editalício, </w:t>
      </w:r>
      <w:r>
        <w:rPr>
          <w:rFonts w:ascii="Times New Roman" w:hAnsi="Times New Roman" w:cs="Times New Roman"/>
          <w:b/>
          <w:bCs/>
        </w:rPr>
        <w:t xml:space="preserve">a empresa PROENGE CONSTRUTORA LTDA está DESCLASSIFICADA. </w:t>
      </w:r>
    </w:p>
    <w:p w:rsidR="00F14C3A" w:rsidRDefault="00F14C3A">
      <w:pPr>
        <w:spacing w:after="0" w:line="360" w:lineRule="auto"/>
        <w:jc w:val="both"/>
        <w:rPr>
          <w:rFonts w:cs="Times New Roman"/>
          <w:b/>
          <w:bCs/>
        </w:rPr>
      </w:pP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 xml:space="preserve">A </w:t>
      </w:r>
      <w:bookmarkStart w:id="0" w:name="__DdeLink__118_407888703"/>
      <w:r>
        <w:rPr>
          <w:rFonts w:ascii="Times New Roman" w:hAnsi="Times New Roman" w:cs="Times New Roman"/>
          <w:b/>
          <w:bCs/>
        </w:rPr>
        <w:t>CONSTRUTORA ALBUQUERQUE LTDA</w:t>
      </w:r>
      <w:bookmarkEnd w:id="0"/>
      <w:r>
        <w:rPr>
          <w:rFonts w:ascii="Times New Roman" w:hAnsi="Times New Roman" w:cs="Times New Roman"/>
        </w:rPr>
        <w:t>apresentou preç</w:t>
      </w:r>
      <w:r>
        <w:rPr>
          <w:rFonts w:ascii="Times New Roman" w:hAnsi="Times New Roman" w:cs="Times New Roman"/>
        </w:rPr>
        <w:t xml:space="preserve">o total superior ao apresentado como referência pela Administração nos itens 2.1.8 e 2.2.6 - ENSAIO DE RESISTENCIA A COMPRESSAO SIMPLES – CONCRETO, conforme análise da  </w:t>
      </w:r>
      <w:r>
        <w:rPr>
          <w:rFonts w:ascii="Times New Roman" w:hAnsi="Times New Roman" w:cs="Times New Roman"/>
        </w:rPr>
        <w:t>equipe técnica da Secretaria Municipal de Saúde</w:t>
      </w:r>
      <w:r>
        <w:rPr>
          <w:rFonts w:ascii="Times New Roman" w:hAnsi="Times New Roman" w:cs="Times New Roman"/>
        </w:rPr>
        <w:t xml:space="preserve"> . O valor apresentado pela Administraçã</w:t>
      </w:r>
      <w:r>
        <w:rPr>
          <w:rFonts w:ascii="Times New Roman" w:hAnsi="Times New Roman" w:cs="Times New Roman"/>
        </w:rPr>
        <w:t>o para o item é de R$ 180,42 (cento e oitenta reais e quarenta e dois centavos), enquanto o preço trazido pela construtora é de R$232,64 (duzentos e trinta e dois reais e sessenta e quatro centavos). Entretanto, a diferença de R$ 52,22 (cinquenta e dois re</w:t>
      </w:r>
      <w:r>
        <w:rPr>
          <w:rFonts w:ascii="Times New Roman" w:hAnsi="Times New Roman" w:cs="Times New Roman"/>
        </w:rPr>
        <w:t>ais, e vinte e dois centavos), o que equivale a menos de 1% comparado com o valor total da Planilha Orçamentária da Construtora.</w:t>
      </w: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Na análise das propostas, a Administração deve verificar a conformidade de cada proposta com os requisitos do edital e, conform</w:t>
      </w:r>
      <w:r>
        <w:rPr>
          <w:rFonts w:ascii="Times New Roman" w:hAnsi="Times New Roman" w:cs="Times New Roman"/>
        </w:rPr>
        <w:t>e o caso, com os preços correntes no mercado ou fixados por órgão oficial competente, ou ainda, com os constantes do sistema de registro de preços, os quais deverão ser devidamente registrados na ata de julgamento, promovendo-se a desclassificação das prop</w:t>
      </w:r>
      <w:r>
        <w:rPr>
          <w:rFonts w:ascii="Times New Roman" w:hAnsi="Times New Roman" w:cs="Times New Roman"/>
        </w:rPr>
        <w:t>ostas desconformes ou incompatíveis com o edital (art. 43, IV). Ainda, o julgamento e classificação das propostas devem estar de acordo com os critérios de avaliação constantes do edital (art. 43, V).</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O Tribunal de Contas da União, acerca da matéria em deb</w:t>
      </w:r>
      <w:r>
        <w:rPr>
          <w:rFonts w:ascii="Times New Roman" w:hAnsi="Times New Roman"/>
        </w:rPr>
        <w:t>ate, decidiu que a Administração “Estabeleça em seus instrumentos convocatórios, em atenção ao princípio do critério objetivo de julgamento das licitações, critérios objetivos de aceitabilidade das propostas das licitantes, tanto para o preço global como p</w:t>
      </w:r>
      <w:r>
        <w:rPr>
          <w:rFonts w:ascii="Times New Roman" w:hAnsi="Times New Roman"/>
        </w:rPr>
        <w:t>ara os preços unitários. Acórdão 1324/2005 Plenário”.</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Assim, fácil perceber que a Administração incorreria em ilegalidade caso fixasse, em seus editais, apenas critério de aceitabilidade dos preços globais e não os dos preços unitários, a despeito da liter</w:t>
      </w:r>
      <w:r>
        <w:rPr>
          <w:rFonts w:ascii="Times New Roman" w:hAnsi="Times New Roman"/>
        </w:rPr>
        <w:t>alidade do inc. X do art. 40 da Lei nº 8.666, de 1993, que, ao disciplinar o conteúdo do edital, exige: “o critério de aceitabilidade dos preços unitários e global, conforme o caso, permitida a fixação de preços máximos e vedadas a fixação de preços mínimo</w:t>
      </w:r>
      <w:r>
        <w:rPr>
          <w:rFonts w:ascii="Times New Roman" w:hAnsi="Times New Roman"/>
        </w:rPr>
        <w:t xml:space="preserve">s, critérios estatísticos ou faixas de variação em relação a preços de referência”.Não é incomum, no entanto, a ocorrência de pequenos equívocos na apresentação das planilhas de preços, o que se deve ao considerável grau de complexidade destes documentos, </w:t>
      </w:r>
      <w:r>
        <w:rPr>
          <w:rFonts w:ascii="Times New Roman" w:hAnsi="Times New Roman"/>
        </w:rPr>
        <w:t>somado ao eventual pequeno lapso temporal para sua elaboração.</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 xml:space="preserve">E é justamente nesse cenário que o quadro enfrentado no caso em tela justifica a tomada </w:t>
      </w:r>
      <w:r>
        <w:rPr>
          <w:rFonts w:ascii="Times New Roman" w:hAnsi="Times New Roman"/>
        </w:rPr>
        <w:lastRenderedPageBreak/>
        <w:t>de maiores cuidados quanto à eventual desclassificação de proposta de uma ou mais licitantes. Há que se n</w:t>
      </w:r>
      <w:r>
        <w:rPr>
          <w:rFonts w:ascii="Times New Roman" w:hAnsi="Times New Roman"/>
        </w:rPr>
        <w:t xml:space="preserve">ortear pelo entendimento, já comum no Tribunal de Contas da União, de que, </w:t>
      </w:r>
      <w:r>
        <w:rPr>
          <w:rFonts w:ascii="Times New Roman" w:hAnsi="Times New Roman"/>
          <w:b/>
          <w:bCs/>
        </w:rPr>
        <w:t>estando o preço global no limite aceitável, dado pelo orçamento da licitação, os sobrepreços existentes, caso ocorra a falta de critérios de aceitabilidade de preços unitários, apen</w:t>
      </w:r>
      <w:r>
        <w:rPr>
          <w:rFonts w:ascii="Times New Roman" w:hAnsi="Times New Roman"/>
          <w:b/>
          <w:bCs/>
        </w:rPr>
        <w:t>as causamprejuízo quando se acrescentam quantitativos aos itens de serviço correspondente</w:t>
      </w:r>
      <w:r>
        <w:rPr>
          <w:rFonts w:ascii="Times New Roman" w:hAnsi="Times New Roman"/>
        </w:rPr>
        <w:t xml:space="preserve"> (TCU. Acordão nº 1684/2003, rel. Min. Marcos Vilaça).</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 xml:space="preserve">De toda forma, quando a licitação se dá pelo preço global, os preços unitários devem ser utilizados apenas como </w:t>
      </w:r>
      <w:r>
        <w:rPr>
          <w:rFonts w:ascii="Times New Roman" w:hAnsi="Times New Roman"/>
        </w:rPr>
        <w:t>indicadores da exequibilidade da proposta apresentada, servindo para apontar se algum dos itens da planilha foi relegado ou ignorado.</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Marçal Justen Filho, analisando esta questão de sobrepreço no preço unitário quando o preço global é adequado ao orçamento</w:t>
      </w:r>
      <w:r>
        <w:rPr>
          <w:rFonts w:ascii="Times New Roman" w:hAnsi="Times New Roman"/>
        </w:rPr>
        <w:t xml:space="preserve"> da Administração, pontificou que “Deve-se ter em vista, quando muito, o valor global da proposta”. É obvio que preenche os requisitos legais uma proposta cujo valor global não é excessivo, ainda quando o preço unitário de um dos insumos possa ultrapassar </w:t>
      </w:r>
      <w:r>
        <w:rPr>
          <w:rFonts w:ascii="Times New Roman" w:hAnsi="Times New Roman"/>
        </w:rPr>
        <w:t>valores de mercado ou registro de preços (e, mesmo, tabelamento de preços). O conceito de excessividade é relativo, na acepção de que se caracteriza em comparação a determinados padrões.</w:t>
      </w:r>
    </w:p>
    <w:p w:rsidR="00F14C3A" w:rsidRDefault="0093202A">
      <w:pPr>
        <w:numPr>
          <w:ilvl w:val="0"/>
          <w:numId w:val="1"/>
        </w:numPr>
        <w:spacing w:after="0" w:line="360" w:lineRule="auto"/>
        <w:jc w:val="both"/>
        <w:rPr>
          <w:rFonts w:ascii="Times New Roman" w:hAnsi="Times New Roman"/>
        </w:rPr>
      </w:pPr>
      <w:r>
        <w:rPr>
          <w:rFonts w:ascii="Times New Roman" w:hAnsi="Times New Roman"/>
        </w:rPr>
        <w:t xml:space="preserve">Há que se ponderar que não é todo e qualquer sobrepreço em licitação </w:t>
      </w:r>
      <w:r>
        <w:rPr>
          <w:rFonts w:ascii="Times New Roman" w:hAnsi="Times New Roman"/>
        </w:rPr>
        <w:t>que gera a necessidade da desclassificação da proposta comercial, mas sim e tão somente aquele sobrepreço que acarreta dano efetivo ao erário e conforme apontado pela equipe técnica da SMS, o impacto do sobrepreço e</w:t>
      </w:r>
      <w:r>
        <w:rPr>
          <w:rFonts w:ascii="Times New Roman" w:hAnsi="Times New Roman" w:cs="Times New Roman"/>
        </w:rPr>
        <w:t>quivale a menos de 1% comparado com o val</w:t>
      </w:r>
      <w:r>
        <w:rPr>
          <w:rFonts w:ascii="Times New Roman" w:hAnsi="Times New Roman" w:cs="Times New Roman"/>
        </w:rPr>
        <w:t xml:space="preserve">or total da Planilha Orçamentária da Construtora Albuquerque, razão pela qual resta a </w:t>
      </w:r>
      <w:r>
        <w:rPr>
          <w:rFonts w:ascii="Times New Roman" w:hAnsi="Times New Roman" w:cs="Times New Roman"/>
          <w:b/>
          <w:bCs/>
        </w:rPr>
        <w:t>empresa CONSTRUTORA ALBUQUERQUE LTDA classificada</w:t>
      </w:r>
      <w:r>
        <w:rPr>
          <w:rFonts w:ascii="Times New Roman" w:hAnsi="Times New Roman" w:cs="Times New Roman"/>
        </w:rPr>
        <w:t xml:space="preserve">. </w:t>
      </w:r>
    </w:p>
    <w:p w:rsidR="00F14C3A" w:rsidRDefault="0093202A">
      <w:pPr>
        <w:numPr>
          <w:ilvl w:val="0"/>
          <w:numId w:val="1"/>
        </w:numPr>
        <w:spacing w:after="0" w:line="360" w:lineRule="auto"/>
        <w:jc w:val="both"/>
        <w:rPr>
          <w:rFonts w:ascii="Times New Roman" w:hAnsi="Times New Roman"/>
        </w:rPr>
      </w:pPr>
      <w:r>
        <w:rPr>
          <w:rFonts w:ascii="Times New Roman" w:hAnsi="Times New Roman" w:cs="Times New Roman"/>
        </w:rPr>
        <w:t xml:space="preserve">Desta forma, observando a ordem das empresas classificadas e os preços apresentados, a Comissão declara como </w:t>
      </w:r>
      <w:r>
        <w:rPr>
          <w:rFonts w:ascii="Times New Roman" w:hAnsi="Times New Roman" w:cs="Times New Roman"/>
          <w:b/>
          <w:bCs/>
          <w:u w:val="single"/>
        </w:rPr>
        <w:t>VENCEDORA</w:t>
      </w:r>
      <w:r>
        <w:rPr>
          <w:rFonts w:ascii="Times New Roman" w:hAnsi="Times New Roman" w:cs="Times New Roman"/>
        </w:rPr>
        <w:t xml:space="preserve">a empresa </w:t>
      </w:r>
      <w:r>
        <w:rPr>
          <w:rFonts w:ascii="Times New Roman" w:hAnsi="Times New Roman" w:cs="Times New Roman"/>
          <w:b/>
          <w:bCs/>
        </w:rPr>
        <w:t>BOA TERRA CONSTRUÇÕES.</w:t>
      </w:r>
    </w:p>
    <w:p w:rsidR="00F14C3A" w:rsidRDefault="0093202A">
      <w:pPr>
        <w:numPr>
          <w:ilvl w:val="0"/>
          <w:numId w:val="1"/>
        </w:numPr>
        <w:tabs>
          <w:tab w:val="left" w:pos="567"/>
        </w:tabs>
        <w:spacing w:before="120" w:after="120" w:line="360" w:lineRule="auto"/>
        <w:jc w:val="both"/>
        <w:rPr>
          <w:rFonts w:ascii="Times New Roman" w:hAnsi="Times New Roman" w:cs="Times New Roman"/>
        </w:rPr>
      </w:pPr>
      <w:r>
        <w:rPr>
          <w:rFonts w:ascii="Times New Roman" w:hAnsi="Times New Roman" w:cs="Times New Roman"/>
        </w:rPr>
        <w:t xml:space="preserve">Abre-se o </w:t>
      </w:r>
      <w:r>
        <w:rPr>
          <w:rFonts w:ascii="Times New Roman" w:hAnsi="Times New Roman" w:cs="Times New Roman"/>
          <w:b/>
          <w:bCs/>
        </w:rPr>
        <w:t>prazo de cinco dias úteis</w:t>
      </w:r>
      <w:r>
        <w:rPr>
          <w:rFonts w:ascii="Times New Roman" w:hAnsi="Times New Roman" w:cs="Times New Roman"/>
        </w:rPr>
        <w:t xml:space="preserve"> a partir da publicação desta decisão no Diário Oficial do Município e no endereço eletrônico da Prefeitura de Maceió (www.maceio.gov.al.br).</w:t>
      </w:r>
    </w:p>
    <w:p w:rsidR="00F14C3A" w:rsidRDefault="00F14C3A">
      <w:pPr>
        <w:tabs>
          <w:tab w:val="left" w:pos="567"/>
        </w:tabs>
        <w:spacing w:after="360" w:line="360" w:lineRule="auto"/>
        <w:rPr>
          <w:rFonts w:ascii="Times New Roman" w:hAnsi="Times New Roman" w:cs="Times New Roman"/>
        </w:rPr>
      </w:pPr>
    </w:p>
    <w:p w:rsidR="00F14C3A" w:rsidRDefault="0093202A">
      <w:pPr>
        <w:tabs>
          <w:tab w:val="left" w:pos="567"/>
        </w:tabs>
        <w:spacing w:after="360" w:line="360" w:lineRule="auto"/>
        <w:jc w:val="center"/>
        <w:rPr>
          <w:rFonts w:ascii="Times New Roman" w:hAnsi="Times New Roman" w:cs="Times New Roman"/>
        </w:rPr>
      </w:pPr>
      <w:r>
        <w:rPr>
          <w:rFonts w:ascii="Times New Roman" w:hAnsi="Times New Roman" w:cs="Times New Roman"/>
        </w:rPr>
        <w:t xml:space="preserve">Maceió/AL, </w:t>
      </w:r>
      <w:r>
        <w:rPr>
          <w:rFonts w:ascii="Times New Roman" w:hAnsi="Times New Roman" w:cs="Times New Roman"/>
        </w:rPr>
        <w:t>05</w:t>
      </w:r>
      <w:r>
        <w:rPr>
          <w:rFonts w:ascii="Times New Roman" w:hAnsi="Times New Roman" w:cs="Times New Roman"/>
        </w:rPr>
        <w:t xml:space="preserve"> de </w:t>
      </w:r>
      <w:r>
        <w:rPr>
          <w:rFonts w:ascii="Times New Roman" w:hAnsi="Times New Roman" w:cs="Times New Roman"/>
        </w:rPr>
        <w:t>maio</w:t>
      </w:r>
      <w:r>
        <w:rPr>
          <w:rFonts w:ascii="Times New Roman" w:hAnsi="Times New Roman" w:cs="Times New Roman"/>
        </w:rPr>
        <w:t xml:space="preserve"> de 20</w:t>
      </w:r>
      <w:r>
        <w:rPr>
          <w:rFonts w:ascii="Times New Roman" w:hAnsi="Times New Roman" w:cs="Times New Roman"/>
        </w:rPr>
        <w:t>20</w:t>
      </w:r>
      <w:r>
        <w:rPr>
          <w:rFonts w:ascii="Times New Roman" w:hAnsi="Times New Roman" w:cs="Times New Roman"/>
        </w:rPr>
        <w:t>.</w:t>
      </w:r>
    </w:p>
    <w:p w:rsidR="00F14C3A" w:rsidRDefault="00F14C3A">
      <w:pPr>
        <w:spacing w:line="360" w:lineRule="auto"/>
        <w:rPr>
          <w:rFonts w:ascii="Times New Roman" w:hAnsi="Times New Roman"/>
        </w:rPr>
      </w:pPr>
    </w:p>
    <w:p w:rsidR="00F14C3A" w:rsidRDefault="00F14C3A">
      <w:pPr>
        <w:spacing w:line="360" w:lineRule="auto"/>
        <w:rPr>
          <w:rFonts w:ascii="Times New Roman" w:hAnsi="Times New Roman"/>
        </w:rPr>
      </w:pPr>
    </w:p>
    <w:p w:rsidR="00F14C3A" w:rsidRDefault="00F14C3A">
      <w:pPr>
        <w:spacing w:line="360" w:lineRule="auto"/>
        <w:rPr>
          <w:rFonts w:ascii="Times New Roman" w:hAnsi="Times New Roman"/>
        </w:rPr>
      </w:pPr>
    </w:p>
    <w:p w:rsidR="00F14C3A" w:rsidRDefault="0093202A">
      <w:pPr>
        <w:spacing w:after="0" w:line="360" w:lineRule="auto"/>
        <w:jc w:val="center"/>
        <w:rPr>
          <w:rFonts w:ascii="Times New Roman" w:hAnsi="Times New Roman" w:cs="Times New Roman"/>
          <w:b/>
          <w:bCs/>
        </w:rPr>
      </w:pPr>
      <w:r>
        <w:rPr>
          <w:rFonts w:ascii="Times New Roman" w:hAnsi="Times New Roman" w:cs="Times New Roman"/>
          <w:b/>
          <w:bCs/>
        </w:rPr>
        <w:t>José Marçal</w:t>
      </w:r>
      <w:r>
        <w:rPr>
          <w:rFonts w:ascii="Times New Roman" w:hAnsi="Times New Roman" w:cs="Times New Roman"/>
          <w:b/>
          <w:bCs/>
        </w:rPr>
        <w:t xml:space="preserve"> de Aranha Falcão Filho</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Matrícula nº. 952032-5</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Diretoria de Comissão de Licitação</w:t>
      </w:r>
    </w:p>
    <w:p w:rsidR="00F14C3A" w:rsidRDefault="00F14C3A">
      <w:pPr>
        <w:spacing w:after="0" w:line="360" w:lineRule="auto"/>
        <w:jc w:val="center"/>
        <w:rPr>
          <w:rFonts w:ascii="Times New Roman" w:hAnsi="Times New Roman" w:cs="Times New Roman"/>
        </w:rPr>
      </w:pPr>
    </w:p>
    <w:p w:rsidR="00F14C3A" w:rsidRDefault="00F14C3A">
      <w:pPr>
        <w:spacing w:after="0" w:line="360" w:lineRule="auto"/>
        <w:jc w:val="center"/>
        <w:rPr>
          <w:rFonts w:ascii="Times New Roman" w:hAnsi="Times New Roman" w:cs="Times New Roman"/>
        </w:rPr>
      </w:pPr>
    </w:p>
    <w:p w:rsidR="00F14C3A" w:rsidRDefault="00F14C3A">
      <w:pPr>
        <w:spacing w:after="0" w:line="360" w:lineRule="auto"/>
        <w:jc w:val="center"/>
        <w:rPr>
          <w:rFonts w:ascii="Times New Roman" w:hAnsi="Times New Roman" w:cs="Times New Roman"/>
        </w:rPr>
      </w:pPr>
    </w:p>
    <w:p w:rsidR="00F14C3A" w:rsidRDefault="0093202A">
      <w:pPr>
        <w:spacing w:after="0" w:line="360" w:lineRule="auto"/>
        <w:jc w:val="center"/>
        <w:rPr>
          <w:rFonts w:ascii="Times New Roman" w:hAnsi="Times New Roman" w:cs="Times New Roman"/>
          <w:b/>
          <w:bCs/>
        </w:rPr>
      </w:pPr>
      <w:r>
        <w:rPr>
          <w:rFonts w:ascii="Times New Roman" w:hAnsi="Times New Roman" w:cs="Times New Roman"/>
          <w:b/>
          <w:bCs/>
        </w:rPr>
        <w:t>Greyzzianne Emanuella Gomes Farias</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Membro CPLOSE</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Matrícula nº. 952037-6</w:t>
      </w:r>
    </w:p>
    <w:p w:rsidR="00F14C3A" w:rsidRDefault="00F14C3A">
      <w:pPr>
        <w:spacing w:after="0" w:line="360" w:lineRule="auto"/>
        <w:jc w:val="center"/>
        <w:rPr>
          <w:rFonts w:ascii="Times New Roman" w:hAnsi="Times New Roman" w:cs="Times New Roman"/>
        </w:rPr>
      </w:pPr>
    </w:p>
    <w:p w:rsidR="00F14C3A" w:rsidRDefault="00F14C3A">
      <w:pPr>
        <w:spacing w:after="0" w:line="360" w:lineRule="auto"/>
        <w:jc w:val="center"/>
        <w:rPr>
          <w:rFonts w:ascii="Times New Roman" w:hAnsi="Times New Roman" w:cs="Times New Roman"/>
        </w:rPr>
      </w:pPr>
    </w:p>
    <w:p w:rsidR="00F14C3A" w:rsidRDefault="00F14C3A">
      <w:pPr>
        <w:spacing w:after="0" w:line="360" w:lineRule="auto"/>
        <w:jc w:val="center"/>
        <w:rPr>
          <w:rFonts w:ascii="Times New Roman" w:hAnsi="Times New Roman" w:cs="Times New Roman"/>
          <w:b/>
          <w:bCs/>
        </w:rPr>
      </w:pPr>
    </w:p>
    <w:p w:rsidR="00F14C3A" w:rsidRDefault="0093202A">
      <w:pPr>
        <w:spacing w:after="0" w:line="360" w:lineRule="auto"/>
        <w:jc w:val="center"/>
        <w:rPr>
          <w:rFonts w:ascii="Times New Roman" w:hAnsi="Times New Roman" w:cs="Times New Roman"/>
          <w:b/>
          <w:bCs/>
        </w:rPr>
      </w:pPr>
      <w:r>
        <w:rPr>
          <w:rFonts w:ascii="Times New Roman" w:hAnsi="Times New Roman" w:cs="Times New Roman"/>
          <w:b/>
          <w:bCs/>
        </w:rPr>
        <w:t>Juniely Batista da Silva</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Membro da CPLOSE</w:t>
      </w:r>
    </w:p>
    <w:p w:rsidR="00F14C3A" w:rsidRDefault="0093202A">
      <w:pPr>
        <w:spacing w:after="0" w:line="360" w:lineRule="auto"/>
        <w:jc w:val="center"/>
        <w:rPr>
          <w:rFonts w:ascii="Times New Roman" w:hAnsi="Times New Roman" w:cs="Times New Roman"/>
        </w:rPr>
      </w:pPr>
      <w:r>
        <w:rPr>
          <w:rFonts w:ascii="Times New Roman" w:hAnsi="Times New Roman" w:cs="Times New Roman"/>
        </w:rPr>
        <w:t>Matrícula nº 952033-3</w:t>
      </w:r>
    </w:p>
    <w:p w:rsidR="00F14C3A" w:rsidRDefault="00F14C3A">
      <w:pPr>
        <w:spacing w:after="0" w:line="360" w:lineRule="auto"/>
        <w:ind w:firstLine="3302"/>
        <w:jc w:val="both"/>
        <w:rPr>
          <w:rFonts w:ascii="Times New Roman" w:hAnsi="Times New Roman" w:cs="Times New Roman"/>
          <w:b/>
          <w:bCs/>
        </w:rPr>
      </w:pPr>
    </w:p>
    <w:p w:rsidR="00F14C3A" w:rsidRDefault="00F14C3A">
      <w:pPr>
        <w:spacing w:after="0" w:line="360" w:lineRule="auto"/>
        <w:ind w:firstLine="3300"/>
        <w:jc w:val="both"/>
        <w:rPr>
          <w:rFonts w:ascii="Times New Roman" w:hAnsi="Times New Roman" w:cs="Times New Roman"/>
        </w:rPr>
      </w:pPr>
    </w:p>
    <w:p w:rsidR="00F14C3A" w:rsidRDefault="00F14C3A">
      <w:pPr>
        <w:spacing w:after="0" w:line="360" w:lineRule="auto"/>
        <w:ind w:firstLine="3300"/>
        <w:jc w:val="both"/>
        <w:rPr>
          <w:rFonts w:ascii="Times New Roman" w:hAnsi="Times New Roman" w:cs="Times New Roman"/>
        </w:rPr>
      </w:pPr>
    </w:p>
    <w:p w:rsidR="00F14C3A" w:rsidRDefault="0093202A">
      <w:pPr>
        <w:spacing w:after="0" w:line="360" w:lineRule="auto"/>
        <w:jc w:val="center"/>
        <w:rPr>
          <w:rFonts w:ascii="Times New Roman" w:hAnsi="Times New Roman" w:cs="Times New Roman"/>
          <w:bCs/>
          <w:iCs/>
        </w:rPr>
      </w:pPr>
      <w:r>
        <w:rPr>
          <w:rFonts w:ascii="Times New Roman" w:hAnsi="Times New Roman" w:cs="Times New Roman"/>
          <w:b/>
        </w:rPr>
        <w:t>Camila Barros dos Santos</w:t>
      </w:r>
    </w:p>
    <w:p w:rsidR="00F14C3A" w:rsidRDefault="0093202A">
      <w:pPr>
        <w:spacing w:after="0" w:line="360" w:lineRule="auto"/>
        <w:jc w:val="center"/>
        <w:rPr>
          <w:rFonts w:ascii="Times New Roman" w:hAnsi="Times New Roman" w:cs="Times New Roman"/>
          <w:bCs/>
          <w:iCs/>
        </w:rPr>
      </w:pPr>
      <w:r>
        <w:rPr>
          <w:rFonts w:ascii="Times New Roman" w:hAnsi="Times New Roman" w:cs="Times New Roman"/>
          <w:bCs/>
          <w:iCs/>
        </w:rPr>
        <w:t>Membro CPLOSE</w:t>
      </w:r>
    </w:p>
    <w:p w:rsidR="00F14C3A" w:rsidRDefault="0093202A">
      <w:pPr>
        <w:spacing w:line="360" w:lineRule="auto"/>
        <w:jc w:val="center"/>
      </w:pPr>
      <w:r>
        <w:rPr>
          <w:rFonts w:ascii="Times New Roman" w:hAnsi="Times New Roman" w:cs="Times New Roman"/>
          <w:bCs/>
          <w:iCs/>
        </w:rPr>
        <w:t xml:space="preserve">Matrícula nº. </w:t>
      </w:r>
      <w:r>
        <w:rPr>
          <w:rFonts w:ascii="Times New Roman" w:hAnsi="Times New Roman" w:cs="Times New Roman"/>
        </w:rPr>
        <w:t>952031-7</w:t>
      </w:r>
    </w:p>
    <w:p w:rsidR="00F14C3A" w:rsidRPr="000847A6" w:rsidRDefault="000847A6">
      <w:pPr>
        <w:spacing w:line="360" w:lineRule="auto"/>
        <w:jc w:val="both"/>
        <w:rPr>
          <w:rFonts w:ascii="Times New Roman" w:hAnsi="Times New Roman"/>
          <w:b/>
        </w:rPr>
      </w:pPr>
      <w:r w:rsidRPr="000847A6">
        <w:rPr>
          <w:rFonts w:ascii="Times New Roman" w:hAnsi="Times New Roman"/>
          <w:b/>
        </w:rPr>
        <w:t>*ORIGINAL ASSINADO.</w:t>
      </w:r>
    </w:p>
    <w:sectPr w:rsidR="00F14C3A" w:rsidRPr="000847A6" w:rsidSect="00F14C3A">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02A" w:rsidRDefault="0093202A" w:rsidP="00F14C3A">
      <w:pPr>
        <w:spacing w:after="0" w:line="240" w:lineRule="auto"/>
      </w:pPr>
      <w:r>
        <w:separator/>
      </w:r>
    </w:p>
  </w:endnote>
  <w:endnote w:type="continuationSeparator" w:id="1">
    <w:p w:rsidR="0093202A" w:rsidRDefault="0093202A" w:rsidP="00F14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02A" w:rsidRDefault="0093202A" w:rsidP="00F14C3A">
      <w:pPr>
        <w:spacing w:after="0" w:line="240" w:lineRule="auto"/>
      </w:pPr>
      <w:r>
        <w:separator/>
      </w:r>
    </w:p>
  </w:footnote>
  <w:footnote w:type="continuationSeparator" w:id="1">
    <w:p w:rsidR="0093202A" w:rsidRDefault="0093202A" w:rsidP="00F14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3A" w:rsidRDefault="00F14C3A">
    <w:pPr>
      <w:pStyle w:val="Header"/>
    </w:pPr>
    <w:r>
      <w:pict>
        <v:rect id="Text Box 1" o:spid="_x0000_s1026" style="position:absolute;margin-left:0;margin-top:-35pt;width:611.1pt;height:30.85pt;z-index:251657728;mso-position-horizontal:left;mso-position-horizontal-relative:page" fillcolor="#0070c0" stroked="f" strokecolor="#3465a4">
          <v:fill color2="#ff8f3f" o:detectmouseclick="t"/>
          <v:stroke joinstyle="round"/>
          <v:textbox>
            <w:txbxContent>
              <w:p w:rsidR="00F14C3A" w:rsidRDefault="00F14C3A">
                <w:pPr>
                  <w:pStyle w:val="Contedodoquadro"/>
                  <w:rPr>
                    <w:color w:val="000000"/>
                  </w:rPr>
                </w:pPr>
              </w:p>
            </w:txbxContent>
          </v:textbox>
          <w10:wrap anchorx="page"/>
        </v:rect>
      </w:pict>
    </w:r>
    <w:r>
      <w:pict>
        <v:rect id="Text Box 3" o:spid="_x0000_s1025" style="position:absolute;margin-left:0;margin-top:-.5pt;width:141.25pt;height:86.7pt;z-index:251658752;mso-position-horizontal:center;mso-position-horizontal-relative:margin" stroked="f" strokecolor="#3465a4">
          <v:fill color2="black" o:detectmouseclick="t"/>
          <v:stroke joinstyle="round"/>
          <v:textbox>
            <w:txbxContent>
              <w:p w:rsidR="00F14C3A" w:rsidRDefault="0093202A">
                <w:pPr>
                  <w:pStyle w:val="Contedodoquadro"/>
                  <w:spacing w:after="0" w:line="240" w:lineRule="auto"/>
                  <w:jc w:val="center"/>
                  <w:rPr>
                    <w:sz w:val="28"/>
                    <w:szCs w:val="28"/>
                  </w:rPr>
                </w:pPr>
                <w:r>
                  <w:rPr>
                    <w:sz w:val="28"/>
                    <w:szCs w:val="28"/>
                  </w:rPr>
                  <w:t>PREFEITURA DE</w:t>
                </w:r>
              </w:p>
              <w:p w:rsidR="00F14C3A" w:rsidRDefault="0093202A">
                <w:pPr>
                  <w:pStyle w:val="Contedodoquadro"/>
                  <w:spacing w:after="0" w:line="240" w:lineRule="auto"/>
                  <w:jc w:val="center"/>
                  <w:rPr>
                    <w:sz w:val="52"/>
                    <w:szCs w:val="52"/>
                  </w:rPr>
                </w:pPr>
                <w:r>
                  <w:rPr>
                    <w:sz w:val="52"/>
                    <w:szCs w:val="52"/>
                  </w:rPr>
                  <w:t>MACEIÓ</w:t>
                </w:r>
              </w:p>
              <w:p w:rsidR="00F14C3A" w:rsidRDefault="0093202A">
                <w:pPr>
                  <w:pStyle w:val="Contedodoquadro"/>
                  <w:spacing w:after="0" w:line="240" w:lineRule="auto"/>
                  <w:jc w:val="center"/>
                  <w:rPr>
                    <w:sz w:val="20"/>
                    <w:szCs w:val="20"/>
                  </w:rPr>
                </w:pPr>
                <w:r>
                  <w:rPr>
                    <w:sz w:val="20"/>
                    <w:szCs w:val="20"/>
                  </w:rPr>
                  <w:t>INFRAESTRUTURA</w:t>
                </w:r>
              </w:p>
              <w:p w:rsidR="00F14C3A" w:rsidRDefault="00F14C3A">
                <w:pPr>
                  <w:pStyle w:val="Contedodoquadro"/>
                  <w:spacing w:after="0" w:line="240" w:lineRule="auto"/>
                  <w:jc w:val="center"/>
                  <w:rPr>
                    <w:sz w:val="20"/>
                    <w:szCs w:val="20"/>
                  </w:rPr>
                </w:pPr>
              </w:p>
            </w:txbxContent>
          </v:textbox>
          <w10:wrap type="square" anchorx="margin"/>
        </v:rect>
      </w:pict>
    </w:r>
    <w:r w:rsidR="0093202A">
      <w:rPr>
        <w:noProof/>
        <w:lang w:eastAsia="pt-BR"/>
      </w:rPr>
      <w:drawing>
        <wp:anchor distT="0" distB="0" distL="0" distR="0" simplePos="0" relativeHeight="251656704" behindDoc="1" locked="0" layoutInCell="1" allowOverlap="1">
          <wp:simplePos x="0" y="0"/>
          <wp:positionH relativeFrom="column">
            <wp:posOffset>692785</wp:posOffset>
          </wp:positionH>
          <wp:positionV relativeFrom="paragraph">
            <wp:posOffset>3175</wp:posOffset>
          </wp:positionV>
          <wp:extent cx="1097280" cy="1207770"/>
          <wp:effectExtent l="0" t="0" r="0" b="0"/>
          <wp:wrapNone/>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pic:cNvPicPr>
                    <a:picLocks noChangeAspect="1" noChangeArrowheads="1"/>
                  </pic:cNvPicPr>
                </pic:nvPicPr>
                <pic:blipFill>
                  <a:blip r:embed="rId1"/>
                  <a:srcRect l="38915" t="32489" r="51554" b="50718"/>
                  <a:stretch>
                    <a:fillRect/>
                  </a:stretch>
                </pic:blipFill>
                <pic:spPr bwMode="auto">
                  <a:xfrm>
                    <a:off x="0" y="0"/>
                    <a:ext cx="1097280" cy="1207770"/>
                  </a:xfrm>
                  <a:prstGeom prst="rect">
                    <a:avLst/>
                  </a:prstGeom>
                </pic:spPr>
              </pic:pic>
            </a:graphicData>
          </a:graphic>
        </wp:anchor>
      </w:drawing>
    </w:r>
  </w:p>
  <w:p w:rsidR="00F14C3A" w:rsidRDefault="00F14C3A">
    <w:pPr>
      <w:pStyle w:val="Header"/>
    </w:pPr>
  </w:p>
  <w:p w:rsidR="00F14C3A" w:rsidRDefault="00F14C3A">
    <w:pPr>
      <w:pStyle w:val="Header"/>
    </w:pPr>
  </w:p>
  <w:p w:rsidR="00F14C3A" w:rsidRDefault="00F14C3A">
    <w:pPr>
      <w:pStyle w:val="Header"/>
    </w:pPr>
  </w:p>
  <w:p w:rsidR="00F14C3A" w:rsidRDefault="00F14C3A">
    <w:pPr>
      <w:pStyle w:val="Header"/>
    </w:pPr>
  </w:p>
  <w:p w:rsidR="00F14C3A" w:rsidRDefault="00F14C3A">
    <w:pPr>
      <w:pStyle w:val="Header"/>
    </w:pPr>
  </w:p>
  <w:p w:rsidR="00F14C3A" w:rsidRDefault="00F14C3A">
    <w:pPr>
      <w:pStyle w:val="Header"/>
    </w:pPr>
  </w:p>
  <w:p w:rsidR="00F14C3A" w:rsidRDefault="00F14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56A00"/>
    <w:multiLevelType w:val="multilevel"/>
    <w:tmpl w:val="C194FDF6"/>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89B3248"/>
    <w:multiLevelType w:val="multilevel"/>
    <w:tmpl w:val="886E62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useFELayout/>
  </w:compat>
  <w:rsids>
    <w:rsidRoot w:val="00F14C3A"/>
    <w:rsid w:val="000847A6"/>
    <w:rsid w:val="005A3826"/>
    <w:rsid w:val="0093202A"/>
    <w:rsid w:val="00F14C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3A"/>
    <w:pPr>
      <w:widowControl w:val="0"/>
      <w:spacing w:after="160" w:line="259" w:lineRule="auto"/>
    </w:pPr>
    <w:rPr>
      <w:rFonts w:asciiTheme="minorHAnsi" w:eastAsiaTheme="minorHAnsi" w:hAnsiTheme="minorHAnsi" w:cstheme="minorBidi"/>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qFormat/>
    <w:rsid w:val="00F14C3A"/>
    <w:rPr>
      <w:color w:val="0563C1" w:themeColor="hyperlink"/>
      <w:u w:val="single"/>
    </w:rPr>
  </w:style>
  <w:style w:type="character" w:customStyle="1" w:styleId="CabealhoChar">
    <w:name w:val="Cabeçalho Char"/>
    <w:basedOn w:val="Fontepargpadro"/>
    <w:uiPriority w:val="99"/>
    <w:qFormat/>
    <w:rsid w:val="00F14C3A"/>
  </w:style>
  <w:style w:type="paragraph" w:styleId="Ttulo">
    <w:name w:val="Title"/>
    <w:basedOn w:val="Normal"/>
    <w:next w:val="Corpodetexto"/>
    <w:qFormat/>
    <w:rsid w:val="00F14C3A"/>
    <w:pPr>
      <w:keepNext/>
      <w:spacing w:before="240" w:after="120"/>
    </w:pPr>
    <w:rPr>
      <w:rFonts w:ascii="Liberation Sans" w:eastAsia="Microsoft YaHei" w:hAnsi="Liberation Sans" w:cs="Arial"/>
      <w:sz w:val="28"/>
      <w:szCs w:val="28"/>
    </w:rPr>
  </w:style>
  <w:style w:type="paragraph" w:styleId="Corpodetexto">
    <w:name w:val="Body Text"/>
    <w:basedOn w:val="Normal"/>
    <w:rsid w:val="00F14C3A"/>
    <w:pPr>
      <w:spacing w:after="140" w:line="276" w:lineRule="auto"/>
    </w:pPr>
  </w:style>
  <w:style w:type="paragraph" w:styleId="Lista">
    <w:name w:val="List"/>
    <w:basedOn w:val="Corpodetexto"/>
    <w:rsid w:val="00F14C3A"/>
    <w:rPr>
      <w:rFonts w:cs="Arial"/>
    </w:rPr>
  </w:style>
  <w:style w:type="paragraph" w:customStyle="1" w:styleId="Caption">
    <w:name w:val="Caption"/>
    <w:basedOn w:val="Normal"/>
    <w:qFormat/>
    <w:rsid w:val="00F14C3A"/>
    <w:pPr>
      <w:suppressLineNumbers/>
      <w:spacing w:before="120" w:after="120"/>
    </w:pPr>
    <w:rPr>
      <w:rFonts w:cs="Arial"/>
      <w:i/>
      <w:iCs/>
      <w:sz w:val="24"/>
      <w:szCs w:val="24"/>
    </w:rPr>
  </w:style>
  <w:style w:type="paragraph" w:customStyle="1" w:styleId="ndice">
    <w:name w:val="Índice"/>
    <w:basedOn w:val="Normal"/>
    <w:qFormat/>
    <w:rsid w:val="00F14C3A"/>
    <w:pPr>
      <w:suppressLineNumbers/>
    </w:pPr>
    <w:rPr>
      <w:rFonts w:cs="Arial"/>
    </w:rPr>
  </w:style>
  <w:style w:type="paragraph" w:customStyle="1" w:styleId="Header">
    <w:name w:val="Header"/>
    <w:basedOn w:val="Normal"/>
    <w:uiPriority w:val="99"/>
    <w:unhideWhenUsed/>
    <w:qFormat/>
    <w:rsid w:val="00F14C3A"/>
    <w:pPr>
      <w:tabs>
        <w:tab w:val="center" w:pos="4252"/>
        <w:tab w:val="right" w:pos="8504"/>
      </w:tabs>
      <w:spacing w:after="0" w:line="240" w:lineRule="auto"/>
    </w:pPr>
  </w:style>
  <w:style w:type="paragraph" w:customStyle="1" w:styleId="Footer">
    <w:name w:val="Footer"/>
    <w:basedOn w:val="Normal"/>
    <w:uiPriority w:val="99"/>
    <w:semiHidden/>
    <w:unhideWhenUsed/>
    <w:rsid w:val="00F14C3A"/>
    <w:pPr>
      <w:tabs>
        <w:tab w:val="center" w:pos="4252"/>
        <w:tab w:val="right" w:pos="8504"/>
      </w:tabs>
    </w:pPr>
  </w:style>
  <w:style w:type="paragraph" w:styleId="PargrafodaLista">
    <w:name w:val="List Paragraph"/>
    <w:basedOn w:val="Normal"/>
    <w:uiPriority w:val="34"/>
    <w:qFormat/>
    <w:rsid w:val="00F14C3A"/>
    <w:pPr>
      <w:ind w:left="720"/>
      <w:contextualSpacing/>
    </w:pPr>
  </w:style>
  <w:style w:type="paragraph" w:customStyle="1" w:styleId="Contedodoquadro">
    <w:name w:val="Conteúdo do quadro"/>
    <w:basedOn w:val="Normal"/>
    <w:qFormat/>
    <w:rsid w:val="00F14C3A"/>
  </w:style>
  <w:style w:type="table" w:styleId="Tabelacomgrade">
    <w:name w:val="Table Grid"/>
    <w:basedOn w:val="Tabelanormal"/>
    <w:uiPriority w:val="39"/>
    <w:qFormat/>
    <w:rsid w:val="00F14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40D00-EFF1-4370-822E-209D03E4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1280</Words>
  <Characters>6916</Characters>
  <Application>Microsoft Office Word</Application>
  <DocSecurity>0</DocSecurity>
  <Lines>57</Lines>
  <Paragraphs>16</Paragraphs>
  <ScaleCrop>false</ScaleCrop>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Lenira Caldas Lessa Nascimento</dc:creator>
  <cp:lastModifiedBy>BOLEADO</cp:lastModifiedBy>
  <cp:revision>3</cp:revision>
  <dcterms:created xsi:type="dcterms:W3CDTF">2020-05-06T16:26:00Z</dcterms:created>
  <dcterms:modified xsi:type="dcterms:W3CDTF">2020-05-06T16:27:00Z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1046-11.2.0.9281</vt:lpwstr>
  </property>
  <property fmtid="{D5CDD505-2E9C-101B-9397-08002B2CF9AE}" pid="4" name="LinksUpToDate">
    <vt:bool>false</vt:bool>
  </property>
  <property fmtid="{D5CDD505-2E9C-101B-9397-08002B2CF9AE}" pid="5" name="ScaleCrop">
    <vt:bool>false</vt:bool>
  </property>
</Properties>
</file>