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FEE" w:rsidRPr="00B41FEE" w:rsidRDefault="00B41FEE" w:rsidP="00B41FEE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B41FEE">
        <w:rPr>
          <w:rFonts w:cstheme="minorHAnsi"/>
          <w:sz w:val="24"/>
          <w:szCs w:val="24"/>
        </w:rPr>
        <w:t xml:space="preserve">Pregão Eletrônico nº 035/2020 </w:t>
      </w:r>
    </w:p>
    <w:p w:rsidR="00B41FEE" w:rsidRPr="00B41FEE" w:rsidRDefault="00B41FEE" w:rsidP="00B41F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>Interessado: ARSER</w:t>
      </w:r>
    </w:p>
    <w:p w:rsidR="00B41FEE" w:rsidRPr="00B41FEE" w:rsidRDefault="00B41FEE" w:rsidP="00B41FEE">
      <w:pPr>
        <w:pStyle w:val="Corpodetex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1FEE">
        <w:rPr>
          <w:rFonts w:asciiTheme="minorHAnsi" w:hAnsiTheme="minorHAnsi" w:cstheme="minorHAnsi"/>
          <w:sz w:val="24"/>
          <w:szCs w:val="24"/>
        </w:rPr>
        <w:t>Assunto: Aquisição de Equipamentos de Informática</w:t>
      </w:r>
    </w:p>
    <w:p w:rsidR="00B41FEE" w:rsidRPr="00B41FEE" w:rsidRDefault="00B41FEE" w:rsidP="00B41FEE">
      <w:pPr>
        <w:tabs>
          <w:tab w:val="left" w:pos="618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1FEE" w:rsidRPr="00B41FEE" w:rsidRDefault="00B41FEE" w:rsidP="00B41FEE">
      <w:pPr>
        <w:tabs>
          <w:tab w:val="left" w:pos="61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>A empresa</w:t>
      </w:r>
    </w:p>
    <w:p w:rsidR="00B41FEE" w:rsidRPr="00B41FEE" w:rsidRDefault="00B41FEE" w:rsidP="00B41FEE">
      <w:pPr>
        <w:tabs>
          <w:tab w:val="left" w:pos="6180"/>
        </w:tabs>
        <w:jc w:val="both"/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>DRIVE INFORMÁTICA</w:t>
      </w:r>
      <w:r w:rsidRPr="00B41FEE">
        <w:rPr>
          <w:rFonts w:cstheme="minorHAnsi"/>
          <w:sz w:val="24"/>
          <w:szCs w:val="24"/>
        </w:rPr>
        <w:tab/>
      </w:r>
    </w:p>
    <w:p w:rsidR="00B41FEE" w:rsidRPr="00B41FEE" w:rsidRDefault="00B41FEE" w:rsidP="00B41FEE">
      <w:pPr>
        <w:jc w:val="center"/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 xml:space="preserve">ESCLARECIMENTOS </w:t>
      </w:r>
    </w:p>
    <w:p w:rsidR="00B41FEE" w:rsidRPr="00B41FEE" w:rsidRDefault="00B41FEE" w:rsidP="00B41FEE">
      <w:pPr>
        <w:jc w:val="both"/>
        <w:rPr>
          <w:rFonts w:cstheme="minorHAnsi"/>
          <w:sz w:val="24"/>
          <w:szCs w:val="24"/>
        </w:rPr>
      </w:pPr>
    </w:p>
    <w:p w:rsidR="00B41FEE" w:rsidRPr="00B41FEE" w:rsidRDefault="00B41FEE" w:rsidP="00B41FEE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B41FEE">
        <w:rPr>
          <w:rFonts w:asciiTheme="minorHAnsi" w:hAnsiTheme="minorHAnsi" w:cstheme="minorHAnsi"/>
          <w:sz w:val="24"/>
          <w:szCs w:val="24"/>
        </w:rPr>
        <w:t>Em resposta aos esclarecimentos solicitados por Vossa Senhoria em relação ao Edital Pregão Eletrônico nº 035/2020, cujo objeto é o Registro de Preços para Aquisição de Equipamentos de Informática, passamos aos seguintes esclarecimentos:</w:t>
      </w:r>
    </w:p>
    <w:p w:rsidR="00B41FEE" w:rsidRPr="00B41FEE" w:rsidRDefault="00B41FEE" w:rsidP="00B41FEE">
      <w:pPr>
        <w:spacing w:line="231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Questionamento 01: QUESTIONAMENTO FORMA DE FATURAMENTO – Hardware e serviço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Para atendimento ao objeto deste edital, a solução a ser ofertada é composta por produtos (hardware) e serviços (garantia ou serv. Instalação ou softwares). Tendo em vista que a tributação sobre esses itens é diferenciada, entendemos que será permitida a emissão de nota de produtos para os equipamentos e nota de serviços para os itens de serviços, como garantia por exemplo.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     Está correto nosso entendimento?</w:t>
      </w:r>
    </w:p>
    <w:p w:rsidR="003411D2" w:rsidRPr="00B41FEE" w:rsidRDefault="003411D2" w:rsidP="00B41FE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411D2" w:rsidRPr="00B41FEE" w:rsidRDefault="00B41FEE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Pregoeira: Está correto o entendimento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Questionamento 02: - PRAZO DE ENTREGA: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Nas condições de fornecimento no “Termo de Referência Anexo I do edital, item 6, subitem 6.4” página 31, temos o seguinte prazo de entrega: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              </w:t>
      </w:r>
    </w:p>
    <w:p w:rsidR="009F0CC6" w:rsidRPr="00B41FEE" w:rsidRDefault="009F0CC6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“6. DAS CONDIÇÕES DE FORNECIMENTO</w:t>
      </w:r>
    </w:p>
    <w:p w:rsidR="009F0CC6" w:rsidRPr="00B41FEE" w:rsidRDefault="009F0CC6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“6.4. O prazo previsto para entrega deverá ser de até 30 (trinta) dias, contados do recebimento da Nota de Empenho/Ordem de Fornecimento (via e-mail ou correios) ou retirado na sede da Contratante;</w:t>
      </w:r>
      <w:r w:rsidRPr="00B41FEE">
        <w:rPr>
          <w:rFonts w:eastAsia="Times New Roman" w:cstheme="minorHAnsi"/>
          <w:sz w:val="24"/>
          <w:szCs w:val="24"/>
          <w:lang w:eastAsia="pt-BR"/>
        </w:rPr>
        <w:t> “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O prazo de entrega praticado pelo mercado para itens similares ao objeto desta licitação é de 60 (sessenta) dias, pois tais equipamentos possuem configurações especificas, que em geral demandam um tempo maior de fabricação e entrega devido a possuírem alguns componentes que dependem de importações e liberações aduaneiras. Diante do exposto, visando a ampla concorrência e </w:t>
      </w:r>
      <w:r w:rsidRPr="00B41FEE">
        <w:rPr>
          <w:rFonts w:eastAsia="Times New Roman" w:cstheme="minorHAnsi"/>
          <w:sz w:val="24"/>
          <w:szCs w:val="24"/>
          <w:lang w:eastAsia="pt-BR"/>
        </w:rPr>
        <w:lastRenderedPageBreak/>
        <w:t>participação dos grandes fabricantes do objeto desta licitação, solicitamos que seja concedido o prazo de 60 (sessenta) dias para entrega dos equipamentos.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Podemos considerar tal prazo?</w:t>
      </w:r>
    </w:p>
    <w:p w:rsidR="003411D2" w:rsidRPr="00B41FEE" w:rsidRDefault="003411D2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411D2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1" w:name="_Hlk36203807"/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bookmarkEnd w:id="1"/>
    <w:p w:rsidR="003411D2" w:rsidRPr="00B41FEE" w:rsidRDefault="003411D2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O prazo será alterado para 60 (sessenta) dias corridos.</w:t>
      </w:r>
    </w:p>
    <w:p w:rsidR="003411D2" w:rsidRPr="00B41FEE" w:rsidRDefault="003411D2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Questionamento 03: EXIGÊNCIA DE AMOSTRA: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No item “18 DO JULGAMENTO DA PROPOSTA COMERCIAL do </w:t>
      </w:r>
      <w:proofErr w:type="gramStart"/>
      <w:r w:rsidRPr="00B41FEE">
        <w:rPr>
          <w:rFonts w:eastAsia="Times New Roman" w:cstheme="minorHAnsi"/>
          <w:sz w:val="24"/>
          <w:szCs w:val="24"/>
          <w:lang w:eastAsia="pt-BR"/>
        </w:rPr>
        <w:t>edital ,subitem</w:t>
      </w:r>
      <w:proofErr w:type="gram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18.3.” página 17, temos a seguinte informação: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“18.3 Caso a compatibilidade com as especificações técnicas mínimas fixadas no Termo de Referência, sobretudo quanto a padrões de qualidade e desempenho, não possa ser aferida pelos meios ordinários previstos neste Edital, o Pregoeiro solicitará a apresentação de AMOSTRA, sob pena de não aceitação da proposta, no local a ser indicado e dentro de, no mínimo, 5 DIAS, contados da solicitação(...)”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Os equipamentos ofertados para atendimento ao objeto desta licitação são produtos específicos à demanda do ÓRGÃO, sendo fabricados sob demanda, ou seja, não tem disponibilidade em estoque, até mesmo pelo valor expressivo para aquisição. Além da especificidade e expressivo valor, esses equipamentos possuem alguns componentes que dependem de importações e liberações aduaneiras, fatores esses que dificultam o atendimento à exigência de amostra. Visto que tal exigência pode restringir a participação de alguns fornecedores ao processo, reduzindo a vantajosidade financeira a qual o Órgão poderá gozar, entendemos que os pontos exigidos no edital e seus anexos, podem ser comprovados por meio de documentação oficial do fabricante e/ ou declaração do mesmo, garantindo assim, ampla concorrência ao certame, não ofendendo de tal forma, aos princípios da lei, nem aos interesses do Órgão.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Está correto nosso entendimento?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B41FEE" w:rsidRDefault="00B41FEE" w:rsidP="00B41FEE">
      <w:pPr>
        <w:rPr>
          <w:rFonts w:cstheme="minorHAnsi"/>
          <w:sz w:val="24"/>
          <w:szCs w:val="24"/>
        </w:rPr>
      </w:pPr>
      <w:r w:rsidRPr="00AC5195">
        <w:rPr>
          <w:rFonts w:cstheme="minorHAnsi"/>
          <w:b/>
          <w:bCs/>
          <w:sz w:val="24"/>
          <w:szCs w:val="24"/>
        </w:rPr>
        <w:t>Resposta</w:t>
      </w:r>
      <w:r>
        <w:rPr>
          <w:rFonts w:cstheme="minorHAnsi"/>
          <w:b/>
          <w:bCs/>
          <w:sz w:val="24"/>
          <w:szCs w:val="24"/>
        </w:rPr>
        <w:t xml:space="preserve"> Pregoeira</w:t>
      </w:r>
      <w:r w:rsidRPr="00AC5195">
        <w:rPr>
          <w:rFonts w:cstheme="minorHAnsi"/>
          <w:b/>
          <w:bCs/>
          <w:sz w:val="24"/>
          <w:szCs w:val="24"/>
        </w:rPr>
        <w:t>:</w:t>
      </w:r>
      <w:r w:rsidRPr="006C36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 item 18.3 é padrão em todos os editais da ARSER, para o objeto da licitação ora questionada não foi exigida apresentação de amostras, se assim o fosse seria estabelecido no Anexo I do edital os critérios para a mesma.</w:t>
      </w:r>
    </w:p>
    <w:p w:rsidR="003411D2" w:rsidRPr="00CD5DDB" w:rsidRDefault="003411D2" w:rsidP="00B41FEE">
      <w:pPr>
        <w:spacing w:after="0" w:line="240" w:lineRule="auto"/>
        <w:rPr>
          <w:rFonts w:cstheme="minorHAnsi"/>
          <w:sz w:val="24"/>
          <w:szCs w:val="24"/>
        </w:rPr>
      </w:pPr>
    </w:p>
    <w:p w:rsidR="009F0CC6" w:rsidRPr="00CD5DDB" w:rsidRDefault="009F0CC6" w:rsidP="00B41F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5DDB">
        <w:rPr>
          <w:rFonts w:cstheme="minorHAnsi"/>
          <w:sz w:val="24"/>
          <w:szCs w:val="24"/>
        </w:rPr>
        <w:t> Questionamento 04: QUESTIONAMENTOS TÉCNICOS:</w:t>
      </w:r>
    </w:p>
    <w:p w:rsidR="009F0CC6" w:rsidRPr="00CD5DDB" w:rsidRDefault="009F0CC6" w:rsidP="00B41F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5DDB">
        <w:rPr>
          <w:rFonts w:cstheme="minorHAnsi"/>
          <w:sz w:val="24"/>
          <w:szCs w:val="24"/>
        </w:rPr>
        <w:t> </w:t>
      </w:r>
    </w:p>
    <w:p w:rsidR="009F0CC6" w:rsidRPr="00CD5DDB" w:rsidRDefault="009F0CC6" w:rsidP="00B41FEE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CD5DDB">
        <w:rPr>
          <w:rFonts w:cstheme="minorHAnsi"/>
          <w:sz w:val="24"/>
          <w:szCs w:val="24"/>
        </w:rPr>
        <w:t>Questionamento 04.1: item 6 – SERVIDOR TIPO TORRE 64GB: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lastRenderedPageBreak/>
        <w:t>1.    É solicitado no item “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1.4. Deve possuir suporte de no mínimo 08 (oito) baias para instalação de discos rígidos de 3.5” polegadas” é solicitado também no item “11.1. Armazenamento bruto composto por, no mínimo, 02 (duas) unidades de discos SSD de no mínimo 960GB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Solid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State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Drive SAS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Read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Intensive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, hot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pluggable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, interface de 6Gb/s”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Os discos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Read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Intensive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de 960GB de 3.5” são da tecnologia SATA e está sendo solicitado disco 960GB SAS, logo entendemos houve um erro de digitação e que serão aceito discos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Read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Intensive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de 960GB de 3.5” da tecnologia SATA. Caso não seja aceito, entendemos que poderá ser ofertado disco 960GB SAS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Read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Intensive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de 2.5”.</w:t>
      </w:r>
    </w:p>
    <w:p w:rsidR="009F0CC6" w:rsidRPr="00B41FEE" w:rsidRDefault="009F0CC6" w:rsidP="00B41FEE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3411D2" w:rsidRPr="00B41FEE" w:rsidRDefault="003411D2" w:rsidP="00B41FEE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3411D2" w:rsidRPr="00B41FEE" w:rsidRDefault="003411D2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O entendimento não está correto.</w:t>
      </w:r>
    </w:p>
    <w:p w:rsidR="00441706" w:rsidRPr="00B41FEE" w:rsidRDefault="00441706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Ratificamos os requisitos como requeridos no Edital:</w:t>
      </w:r>
    </w:p>
    <w:p w:rsidR="00441706" w:rsidRPr="00B41FEE" w:rsidRDefault="00441706" w:rsidP="00B41FEE">
      <w:pPr>
        <w:spacing w:after="0" w:line="240" w:lineRule="auto"/>
        <w:ind w:firstLine="360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11.</w:t>
      </w:r>
      <w:proofErr w:type="gram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1.Armazenamento</w:t>
      </w:r>
      <w:proofErr w:type="gram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bruto composto por, no mínimo, 02 (duas) unidades de discos SSD de no mínimo 960GB </w:t>
      </w:r>
      <w:proofErr w:type="spell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Solid</w:t>
      </w:r>
      <w:proofErr w:type="spell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State</w:t>
      </w:r>
      <w:proofErr w:type="spell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Drive SAS </w:t>
      </w:r>
      <w:proofErr w:type="spell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ReadIntensive</w:t>
      </w:r>
      <w:proofErr w:type="spell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, hot </w:t>
      </w:r>
      <w:proofErr w:type="spell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pluggable</w:t>
      </w:r>
      <w:proofErr w:type="spell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, interface de 6Gb/s;</w:t>
      </w:r>
    </w:p>
    <w:p w:rsidR="00441706" w:rsidRPr="00B41FEE" w:rsidRDefault="00441706" w:rsidP="00B41FEE">
      <w:pPr>
        <w:spacing w:after="0" w:line="240" w:lineRule="auto"/>
        <w:ind w:firstLine="360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11.</w:t>
      </w:r>
      <w:proofErr w:type="gram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2.Armazenamento</w:t>
      </w:r>
      <w:proofErr w:type="gram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bruto composto por, no mínimo, 04 (quatro) unidades de discos SATA de no mínimo 2TB 7.2K RPM, hot </w:t>
      </w:r>
      <w:proofErr w:type="spell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pluggable</w:t>
      </w:r>
      <w:proofErr w:type="spell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, interface de 6Gb/s;</w:t>
      </w:r>
    </w:p>
    <w:p w:rsidR="009F0CC6" w:rsidRPr="00B41FEE" w:rsidRDefault="009F0CC6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2.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“8.3. Possuir, no mínimo, 1 (uma) porta de vídeo padrão VGA (DB-15), uma localizada na parte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trazeira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do gabinete”.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Alguns fabricantes possuem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 VGA como opção de conexão aos modelos mais recentes de monitores, oferendo dois padrões ao cliente. A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é uma interface de vídeo digital que possui diversas funcionalidades técnicas superiores se comparado ao VGA. Entendemos que ofertando duas portas de vídeo, sendo uma delas padrão VGA (DB-15) localizada na parte de traseira e uma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na parte frontal, estaremos atendendo ao solicitado.</w:t>
      </w:r>
    </w:p>
    <w:p w:rsidR="009F0CC6" w:rsidRPr="00B41FEE" w:rsidRDefault="009F0CC6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 Caso não seja aceito, entendemos que poderá ser ofertado adaptador para entrega de duas portas VGA?</w:t>
      </w:r>
    </w:p>
    <w:p w:rsidR="00441706" w:rsidRPr="00B41FEE" w:rsidRDefault="00441706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441706" w:rsidRPr="00B41FEE" w:rsidRDefault="0044170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Está correto o entendimento.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3.    É solicitado nos itens 12.5, 12.6 e 12.7 compatibilidade </w:t>
      </w:r>
      <w:proofErr w:type="gramStart"/>
      <w:r w:rsidRPr="00B41FEE">
        <w:rPr>
          <w:rFonts w:eastAsia="Times New Roman" w:cstheme="minorHAnsi"/>
          <w:sz w:val="24"/>
          <w:szCs w:val="24"/>
          <w:lang w:eastAsia="pt-BR"/>
        </w:rPr>
        <w:t>com  versão</w:t>
      </w:r>
      <w:proofErr w:type="gram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antiga: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12.5. O modelo do equipamento ofertado deverá suportar o sistema operacional Windows Server 2008 versões x86, x64 e R2 x64.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Microsoft no link:</w:t>
      </w:r>
    </w:p>
    <w:p w:rsidR="009F0CC6" w:rsidRPr="00B41FEE" w:rsidRDefault="008E6400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hyperlink r:id="rId6" w:tgtFrame="_blank" w:history="1">
        <w:r w:rsidR="009F0CC6"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http://www.windowsservercatalog.com</w:t>
        </w:r>
      </w:hyperlink>
      <w:r w:rsidR="009F0CC6"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12.6. O modelo do equipamento ofertado deverá suportar o sistema operacional RedHat Enterprise Linux 6.1 ou posterior.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RedHat no link:</w:t>
      </w:r>
    </w:p>
    <w:p w:rsidR="009F0CC6" w:rsidRPr="00B41FEE" w:rsidRDefault="008E6400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hyperlink r:id="rId7" w:tgtFrame="_blank" w:history="1">
        <w:r w:rsidR="009F0CC6"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https://hardware.redhat.com/hwcert/index.cgi</w:t>
        </w:r>
      </w:hyperlink>
      <w:r w:rsidR="009F0CC6"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12.7. O modelo do equipamento ofertado deverá suportar o sistema de virtualização VMware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ESXi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4.1 ou posterior. Esse item deverá ser comprovado através do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CompatibilityGuide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da VMware no link:</w:t>
      </w:r>
    </w:p>
    <w:p w:rsidR="009F0CC6" w:rsidRPr="00B41FEE" w:rsidRDefault="008E6400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hyperlink r:id="rId8" w:tgtFrame="_blank" w:history="1">
        <w:r w:rsidR="009F0CC6"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http://www.vmware.com/resources/compatibility</w:t>
        </w:r>
      </w:hyperlink>
      <w:r w:rsidR="009F0CC6" w:rsidRPr="00B41FEE">
        <w:rPr>
          <w:rFonts w:eastAsia="Times New Roman" w:cstheme="minorHAnsi"/>
          <w:sz w:val="24"/>
          <w:szCs w:val="24"/>
          <w:u w:val="single"/>
          <w:lang w:eastAsia="pt-BR"/>
        </w:rPr>
        <w:t>.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Alguns dos sistemas operacionais listados já estão descontinuados. Entendemos que ao ofertar equipamento com certificação comprovada para os sistemas operacionais mais recentes, estaremos atendendo ao edital.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Compatibilidade a partir da versão ou superior: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Windows Server 2012 R2 (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Most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Recent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Version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>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Red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Hat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Enterprise Linux (RHEL) 7.6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Kbase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(includes KVM);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VMware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vSphere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6.0 U3, 6.5 U2 &amp; 6.7 U1;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441706" w:rsidRPr="00B41FEE" w:rsidRDefault="00441706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Está correto o entendimento.</w:t>
      </w:r>
    </w:p>
    <w:p w:rsidR="00441706" w:rsidRPr="00B41FEE" w:rsidRDefault="0044170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CD5DDB">
        <w:rPr>
          <w:rFonts w:eastAsia="Times New Roman" w:cstheme="minorHAnsi"/>
          <w:sz w:val="24"/>
          <w:szCs w:val="24"/>
          <w:lang w:eastAsia="pt-BR"/>
        </w:rPr>
        <w:t>Questionamento 04.2: item 7 – SERVIDOR TIPO RACK 64GB: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1.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“8.3. Possuir, no mínimo, 1 (uma) porta de vídeo padrão VGA (DB-15), uma localizada na parte traseira do gabinete”.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Alguns fabricantes possuem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 VGA como opção de conexão aos modelos mais recentes de monitores, oferendo dois padrões ao cliente. A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é uma interface de vídeo digital que possui diversas funcionalidades técnicas superiores se comparado ao VGA. Entendemos que ofertando duas portas de vídeo, sendo uma delas padrão VGA (DB-15) localizada na parte de traseira e uma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na parte frontal, estaremos atendendo ao solicitado.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 Caso não seja aceito, entendemos que poderá ser ofertado adaptador para entrega de duas portas VGA?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441706" w:rsidRPr="00B41FEE" w:rsidRDefault="00441706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Apenas será aceito se o servidor for fornecido com o adaptador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DisplayPort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para VGA, para ser utilizado na porta dianteira. Uma vez que o Edital exige 1 (uma) porta VGA na parte traseira e outra na parte dianteira. Como exigido pelo </w:t>
      </w:r>
      <w:r w:rsidR="001E034E" w:rsidRPr="00B41FEE">
        <w:rPr>
          <w:rFonts w:eastAsia="Times New Roman" w:cstheme="minorHAnsi"/>
          <w:sz w:val="24"/>
          <w:szCs w:val="24"/>
          <w:lang w:eastAsia="pt-BR"/>
        </w:rPr>
        <w:t xml:space="preserve">subitem 8.3 do item </w:t>
      </w:r>
      <w:proofErr w:type="gramStart"/>
      <w:r w:rsidR="001E034E" w:rsidRPr="00B41FEE">
        <w:rPr>
          <w:rFonts w:eastAsia="Times New Roman" w:cstheme="minorHAnsi"/>
          <w:sz w:val="24"/>
          <w:szCs w:val="24"/>
          <w:lang w:eastAsia="pt-BR"/>
        </w:rPr>
        <w:t>7 pág.</w:t>
      </w:r>
      <w:proofErr w:type="gramEnd"/>
      <w:r w:rsidR="001E034E" w:rsidRPr="00B41FEE">
        <w:rPr>
          <w:rFonts w:eastAsia="Times New Roman" w:cstheme="minorHAnsi"/>
          <w:sz w:val="24"/>
          <w:szCs w:val="24"/>
          <w:lang w:eastAsia="pt-BR"/>
        </w:rPr>
        <w:t xml:space="preserve"> 81.</w:t>
      </w:r>
    </w:p>
    <w:p w:rsidR="00441706" w:rsidRPr="00B41FEE" w:rsidRDefault="0044170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2.    É solicitado nos itens 12.5, 12.6 e 12.7 compatibilidade </w:t>
      </w:r>
      <w:proofErr w:type="gramStart"/>
      <w:r w:rsidRPr="00B41FEE">
        <w:rPr>
          <w:rFonts w:eastAsia="Times New Roman" w:cstheme="minorHAnsi"/>
          <w:sz w:val="24"/>
          <w:szCs w:val="24"/>
          <w:lang w:eastAsia="pt-BR"/>
        </w:rPr>
        <w:t>com  versão</w:t>
      </w:r>
      <w:proofErr w:type="gram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antiga:</w:t>
      </w:r>
    </w:p>
    <w:p w:rsidR="009F0CC6" w:rsidRPr="00B41FEE" w:rsidRDefault="009F0CC6" w:rsidP="00B41FEE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12.5. O modelo do equipamento ofertado deverá suportar o sistema operacional Windows Server 2008 versões x86, x64 e R2 x64.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Microsoft no link: </w:t>
      </w:r>
      <w:hyperlink r:id="rId9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http://www.windowsservercatalog.com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12.6. O modelo do equipamento ofertado deverá suportar o sistema operacional RedHat Enterprise Linux 6.1 ou posterior.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RedHat no link: </w:t>
      </w:r>
      <w:hyperlink r:id="rId10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https://hardware.redhat.com/hwcert/index.cgi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12.7. O modelo do equipamento ofertado deverá suportar o sistema de virtualização VMware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ESXi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4.1 ou posterior. Esse item deverá ser comprovado através do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CompatibilityGuide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da VMware no link:</w:t>
      </w:r>
    </w:p>
    <w:p w:rsidR="009F0CC6" w:rsidRPr="00B41FEE" w:rsidRDefault="008E6400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hyperlink r:id="rId11" w:tgtFrame="_blank" w:history="1">
        <w:r w:rsidR="009F0CC6"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http://www.vmware.com/resources/compatibility</w:t>
        </w:r>
      </w:hyperlink>
      <w:r w:rsidR="009F0CC6" w:rsidRPr="00B41FEE">
        <w:rPr>
          <w:rFonts w:eastAsia="Times New Roman" w:cstheme="minorHAnsi"/>
          <w:sz w:val="24"/>
          <w:szCs w:val="24"/>
          <w:u w:val="single"/>
          <w:lang w:eastAsia="pt-BR"/>
        </w:rPr>
        <w:t>.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Alguns dos sistemas operacionais listados já estão descontinuados. Entendemos que ao ofertar equipamento com certificação comprovada para os sistemas operacionais mais recentes, estaremos atendendo ao edital.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Compatibilidade a partir da versão ou superior: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Windows Server 2012 R2 (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Most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Recent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Version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>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Red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Hat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Enterprise Linux (RHEL) 7.6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Kbase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(includes KVM);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VMware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vSphere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6.0 U3, 6.5 U2 &amp; 6.7 U1;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E14FE0" w:rsidRPr="00B41FEE" w:rsidRDefault="00E14FE0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Está correto o entendimento.</w:t>
      </w:r>
    </w:p>
    <w:p w:rsidR="00E14FE0" w:rsidRPr="00B41FEE" w:rsidRDefault="00E14FE0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CD5DDB">
        <w:rPr>
          <w:rFonts w:eastAsia="Times New Roman" w:cstheme="minorHAnsi"/>
          <w:sz w:val="24"/>
          <w:szCs w:val="24"/>
          <w:lang w:eastAsia="pt-BR"/>
        </w:rPr>
        <w:t>Questionamento 04.3: item 8 – SERVIDOR TIPO RACK 128GB: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1.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“8.3. Possuir, no mínimo, 1 (uma) porta de vídeo padrão VGA (DB-15), uma localizada na parte traseira do gabinete”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Alguns fabricantes possuem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 VGA como opção de conexão aos modelos mais recentes de monitores, oferendo dois padrões ao cliente. A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é uma interface de vídeo digital que possui diversas funcionalidades técnicas superiores se comparado ao VGA. Entendemos que ofertando duas portas de vídeo, sendo uma delas padrão VGA (DB-15) localizada na parte de traseira e uma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na parte frontal, estaremos atendendo ao solicitado.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É correto nosso entendimento? Caso não seja aceito, entendemos que poderá ser ofertado adaptador para entrega de duas portas VGA?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263A49" w:rsidRPr="00B41FEE" w:rsidRDefault="00263A49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Apenas será aceito se o servidor for fornecido com o adaptador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DisplayPort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para VGA, para ser utilizado na porta dianteira. Uma vez que o Edital exige 1 (uma) porta VGA na parte traseira e outra na parte dianteira. Como exigido pelo subitem 8.3 do item </w:t>
      </w:r>
      <w:proofErr w:type="gramStart"/>
      <w:r w:rsidRPr="00B41FEE">
        <w:rPr>
          <w:rFonts w:eastAsia="Times New Roman" w:cstheme="minorHAnsi"/>
          <w:sz w:val="24"/>
          <w:szCs w:val="24"/>
          <w:lang w:eastAsia="pt-BR"/>
        </w:rPr>
        <w:t>8 pág.</w:t>
      </w:r>
      <w:proofErr w:type="gram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87.</w:t>
      </w:r>
    </w:p>
    <w:p w:rsidR="00263A49" w:rsidRPr="00B41FEE" w:rsidRDefault="00263A49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2.    É solicitado nos itens 12.5, 12.6 e 12.7 compatibilidade </w:t>
      </w:r>
      <w:proofErr w:type="gramStart"/>
      <w:r w:rsidRPr="00B41FEE">
        <w:rPr>
          <w:rFonts w:eastAsia="Times New Roman" w:cstheme="minorHAnsi"/>
          <w:sz w:val="24"/>
          <w:szCs w:val="24"/>
          <w:lang w:eastAsia="pt-BR"/>
        </w:rPr>
        <w:t>com  versão</w:t>
      </w:r>
      <w:proofErr w:type="gram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antiga: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12.5. O modelo do equipamento ofertado deverá suportar o sistema operacional Windows Server 2008 versões x86, x64 e R2 x64.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Microsoft no link: </w:t>
      </w:r>
      <w:hyperlink r:id="rId12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http://www.windowsservercatalog.com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12.6. O modelo do equipamento ofertado deverá suportar o sistema operacional RedHat Enterprise Linux 6.1 ou posterior.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RedHat no link: </w:t>
      </w:r>
      <w:hyperlink r:id="rId13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https://hardware.redhat.com/hwcert/index.cgi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12.7. O modelo do equipamento ofertado deverá suportar o sistema de virtualização VMware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ESXi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4.1 ou posterior. Esse item deverá ser comprovado através do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CompatibilityGuide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da VMware no link: </w:t>
      </w:r>
      <w:hyperlink r:id="rId14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http://www.vmware.com/resources/compatibility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.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Alguns dos sistemas operacionais listados já estão descontinuados. Entendemos que ao ofertar equipamento com certificação comprovada para os sistemas operacionais mais recentes, estaremos atendendo ao edital.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Compatibilidade a partir da versão ou superior: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Windows Server 2012 R2 (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Most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Recent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Version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>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Red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Hat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Enterprise Linux (RHEL) 7.6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Kbase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(includes KVM);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VMware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vSphere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6.0 U3, 6.5 U2 &amp; 6.7 U1;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263A49" w:rsidRPr="00B41FEE" w:rsidRDefault="00263A49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Está correto o entendimento.</w:t>
      </w:r>
    </w:p>
    <w:p w:rsidR="00263A49" w:rsidRPr="00B41FEE" w:rsidRDefault="00263A49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CD5DDB">
        <w:rPr>
          <w:rFonts w:eastAsia="Times New Roman" w:cstheme="minorHAnsi"/>
          <w:sz w:val="24"/>
          <w:szCs w:val="24"/>
          <w:lang w:eastAsia="pt-BR"/>
        </w:rPr>
        <w:t>Questionamento 04.4: item 9 – SERVIDOR TIPO RACK 512GB: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1.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“8.3. Possuir, no mínimo, 1 (uma) porta de vídeo padrão VGA (DB-15), uma localizada na parte traseira do gabinete”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lastRenderedPageBreak/>
        <w:t xml:space="preserve">Alguns fabricantes possuem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 VGA como opção de conexão aos modelos mais recentes de monitores, oferendo dois padrões ao cliente. A interface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é uma interface de vídeo digital que possui diversas funcionalidades técnicas superiores se comparado ao VGA. Entendemos que ofertando duas portas de vídeo, sendo uma delas padrão VGA (DB-15) localizada na parte de traseira e uma Display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na parte frontal, estaremos atendendo ao solicitado.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 Caso não seja aceito, entendemos que poderá ser ofertado adaptador para entrega de duas portas VGA?</w:t>
      </w:r>
    </w:p>
    <w:p w:rsidR="009F0CC6" w:rsidRPr="00B41FEE" w:rsidRDefault="009F0CC6" w:rsidP="00B41FE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263A49" w:rsidRPr="00B41FEE" w:rsidRDefault="00263A49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Apenas será aceito se o servidor for fornecido com o adaptador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DisplayPort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para VGA, para ser utilizado na porta dianteira. Uma vez que o Edital exige 1 (uma) porta VGA na parte traseira e outra na parte dianteira. Como exigido pelo subitem 8.3 do item </w:t>
      </w:r>
      <w:proofErr w:type="gramStart"/>
      <w:r w:rsidRPr="00B41FEE">
        <w:rPr>
          <w:rFonts w:eastAsia="Times New Roman" w:cstheme="minorHAnsi"/>
          <w:sz w:val="24"/>
          <w:szCs w:val="24"/>
          <w:lang w:eastAsia="pt-BR"/>
        </w:rPr>
        <w:t>9 pág.</w:t>
      </w:r>
      <w:proofErr w:type="gram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92.</w:t>
      </w:r>
    </w:p>
    <w:p w:rsidR="00263A49" w:rsidRPr="00B41FEE" w:rsidRDefault="00263A49" w:rsidP="00B41FE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263A49" w:rsidRPr="00B41FEE" w:rsidRDefault="00263A49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2.    É solicitado nos itens 12.5, 12.6 e 12.7 compatibilidade </w:t>
      </w:r>
      <w:proofErr w:type="gramStart"/>
      <w:r w:rsidRPr="00B41FEE">
        <w:rPr>
          <w:rFonts w:eastAsia="Times New Roman" w:cstheme="minorHAnsi"/>
          <w:sz w:val="24"/>
          <w:szCs w:val="24"/>
          <w:lang w:eastAsia="pt-BR"/>
        </w:rPr>
        <w:t>com  versão</w:t>
      </w:r>
      <w:proofErr w:type="gram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antiga:</w:t>
      </w:r>
    </w:p>
    <w:p w:rsidR="009F0CC6" w:rsidRPr="00B41FEE" w:rsidRDefault="009F0CC6" w:rsidP="00B41FEE">
      <w:pPr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12.5. O modelo do equipamento ofertado deverá suportar o sistema operacional Windows Server 2008 versões x86, x64 e R2 x64.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Microsoft no link: </w:t>
      </w:r>
      <w:hyperlink r:id="rId15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http://www.windowsservercatalog.com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12.6. O modelo do equipamento ofertado deverá suportar o sistema operacional RedHat Enterprise Linux 6.1 ou posterior. Esse item deverá ser comprovado através do HCL (Hardware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List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) da RedHat no link: </w:t>
      </w:r>
      <w:hyperlink r:id="rId16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https://hardware.redhat.com/hwcert/index.cgi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12.7. O modelo do equipamento ofertado deverá suportar o sistema de virtualização VMware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ESXi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4.1 ou posterior. Esse item deverá ser comprovado através do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CompatibilityGuide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da VMware no link: </w:t>
      </w:r>
      <w:hyperlink r:id="rId17" w:tgtFrame="_blank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http://www.vmware.com/resources/compatibility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.</w:t>
      </w:r>
    </w:p>
    <w:p w:rsidR="009F0CC6" w:rsidRPr="00B41FEE" w:rsidRDefault="009F0CC6" w:rsidP="00B41FEE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Alguns dos sistemas operacionais listados já estão descontinuados. Entendemos que ao ofertar equipamento com certificação comprovada para os sistemas operacionais mais recentes, estaremos atendendo ao edital.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Compatibilidade a partir da versão ou superior: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Windows Server 2012 R2 (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Most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Recent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Version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>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Red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Hat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Enterprise Linux (RHEL) 7.6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Kbase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(includes KVM);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VMware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vSphere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6.0 U3, 6.5 U2 &amp; 6.7 U1;</w:t>
      </w:r>
    </w:p>
    <w:p w:rsidR="009F0CC6" w:rsidRPr="00B41FEE" w:rsidRDefault="009F0CC6" w:rsidP="00B41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263A49" w:rsidRPr="00B41FEE" w:rsidRDefault="00263A49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9F0CC6" w:rsidRPr="00B41FEE" w:rsidRDefault="00263A49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lastRenderedPageBreak/>
        <w:t>Está correto o entendimento.</w:t>
      </w:r>
    </w:p>
    <w:p w:rsidR="00263A49" w:rsidRPr="00B41FEE" w:rsidRDefault="00263A49" w:rsidP="00B41F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CD5DDB">
        <w:rPr>
          <w:rFonts w:eastAsia="Times New Roman" w:cstheme="minorHAnsi"/>
          <w:sz w:val="24"/>
          <w:szCs w:val="24"/>
          <w:lang w:eastAsia="pt-BR"/>
        </w:rPr>
        <w:t>Questionamento 04.5: item 10 - STORAGE: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1.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“1.1. A solução deve ser entregue com pelo menos 08 (oito) interfaces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iSCSI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de 10GbE Base T dedicadas unicamente para conexão Front-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end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;”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Entendemos que ao fornecer solução com 08 (oito) interfaces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iSCSI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de 10 Gb SFP+ e 02 (dois) switches, sendo cada switch com 04 (quatro) portas 10Gb SFP+, seus respectivos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transceiver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SFP+ 10 Gb e 12 portas 10GbE Base T, com seus respectivos cabos, acessórios e trilhos necessários ao pleno funcionamento da solução, bem como os serviços de instalação e configuração, estaremos atendendo ao solicitado.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263A49" w:rsidRPr="00B41FEE" w:rsidRDefault="00263A49" w:rsidP="00B41FEE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263A49" w:rsidRPr="00B41FEE" w:rsidRDefault="00263A49" w:rsidP="00B41FEE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Não está correto o entendimento. As especificações do item 10, se referem a um equipamento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Storage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que contenha todas as características exigidas no Edital e que ele por si só possua tais características. O que a proponente está desejando fornecer é um conjunto de equipamentos, na tentativa de montar uma solução que possivelmente possa atender ao solicitado. Esta equipe técnica entende que não é viável nem aceitável tal proposta, visto que iriam ser inseridos na solução diversos equipamentos e componentes que elevariam o custo operacional e aumentariam consideravelmente os pontos de falha da solução.</w:t>
      </w:r>
    </w:p>
    <w:p w:rsidR="00263A49" w:rsidRPr="00B41FEE" w:rsidRDefault="00263A49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2.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“1.8. A solução de armazenamento deverá </w:t>
      </w:r>
      <w:r w:rsidRPr="00B41FEE">
        <w:rPr>
          <w:rFonts w:eastAsia="Times New Roman" w:cstheme="minorHAnsi"/>
          <w:sz w:val="24"/>
          <w:szCs w:val="24"/>
          <w:lang w:eastAsia="pt-BR"/>
        </w:rPr>
        <w:t>ter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 escalabilidade mínima de 276 (duzentos e setenta e seis) discos para expansão futura, de maneira não disruptiva e apenas adicionando gavetas de expansão</w:t>
      </w:r>
      <w:r w:rsidRPr="00B41FEE">
        <w:rPr>
          <w:rFonts w:eastAsia="Times New Roman" w:cstheme="minorHAnsi"/>
          <w:sz w:val="24"/>
          <w:szCs w:val="24"/>
          <w:lang w:eastAsia="pt-BR"/>
        </w:rPr>
        <w:t>”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1B0887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Entendemos que a quantidade de 276 discos sugerida foi apenas uma referência a um modelo específico de equipamento, tendo como referência a quantidade de discos a ser fornecida. Dessa forma, entendemos que ao fornecer equipamento com escalabilidade superior a 700% da quantidade de discos fornecida, ou seja, escalabilidade de até 196 discos, estaremos atendendo à necessidade de expansão futura do órgão.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1B0887" w:rsidRPr="00B41FEE" w:rsidRDefault="001B0887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1B0887" w:rsidRPr="00B41FEE" w:rsidRDefault="001B0887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lastRenderedPageBreak/>
        <w:t>Não está correto o entendimento. Devido as demandas crescentes por áreas de armazenamento e expansões frequentes, foi definido em edital uma quantidade mínima de 276 discos, ou seja, sendo que o desejado seria uma possível expansão em quantidades ainda maiores. E ao que se percebe, é que a solução proposta não atende ao requisito mínimo do Edital e que consideramos de fundamental importância, onde a solução proposta apresenta uma capacidade MÁXIMA de 196 discos, não permitindo expansões futuras.</w:t>
      </w:r>
    </w:p>
    <w:p w:rsidR="001B0887" w:rsidRPr="00B41FEE" w:rsidRDefault="001B0887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3.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“1.11.A solução de armazenamento deve oferecer os seguintes níveis de proteção RAID: </w:t>
      </w:r>
      <w:hyperlink r:id="rId18" w:history="1">
        <w:r w:rsidRPr="00B41FEE">
          <w:rPr>
            <w:rFonts w:eastAsia="Times New Roman" w:cstheme="minorHAnsi"/>
            <w:sz w:val="24"/>
            <w:szCs w:val="24"/>
            <w:u w:val="single"/>
            <w:lang w:eastAsia="pt-BR"/>
          </w:rPr>
          <w:t>0, 1, 5, 6, 10</w:t>
        </w:r>
      </w:hyperlink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 e 50, sendo que qualquer combinação de níveis de RAID possam existir em um único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array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;”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Entendemos que ao fornecer solução de armazenamento com os níveis de proteção RAID: 0, 1, 5, 6 e 10, estaremos atendendo ao solicitado.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1B0887" w:rsidRPr="00B41FEE" w:rsidRDefault="001B0887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1B0887" w:rsidRPr="00B41FEE" w:rsidRDefault="001B0887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Não está correto o entendimento. o RAID 50 (5+0) combina duas configurações já conhecidas: pelo menos dois arranjos RAID 5 trabalhando em RAID 0. Se o equipamento ofertado não apresenta tal funcionalidade, ele não atende as especificações mínimas do Edital.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4.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“2.4. A solução de armazenamento deve permitir geração de pelo menos 1.024 snapshots (point-in-time backup) por </w:t>
      </w:r>
      <w:proofErr w:type="spell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array</w:t>
      </w:r>
      <w:proofErr w:type="spell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; </w:t>
      </w:r>
      <w:proofErr w:type="gram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Esta</w:t>
      </w:r>
      <w:proofErr w:type="gram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funcionalidade deve estar licenciada para a capacidade máxima da solução;”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Para assegurar a isonomia e permitir a participação do maior número de interessados no certame, trazendo uma competição justa entre os fabricantes com equipamentos equivalentes em tecnologia e capacidades, entendemos que ao ofertar a geração de pelo menos 512 snapshots (point-in-time backup) por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array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>, estaremos atendendo à necessidade do órgão.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3B0B9D" w:rsidRPr="00B41FEE" w:rsidRDefault="003B0B9D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O entendimento não está correto. Pois não atende as exigências mínimas do edital, </w:t>
      </w:r>
      <w:proofErr w:type="spellStart"/>
      <w:r w:rsidRPr="00B41FEE">
        <w:rPr>
          <w:rFonts w:eastAsia="Times New Roman" w:cstheme="minorHAnsi"/>
          <w:sz w:val="24"/>
          <w:szCs w:val="24"/>
          <w:lang w:eastAsia="pt-BR"/>
        </w:rPr>
        <w:t>alias</w:t>
      </w:r>
      <w:proofErr w:type="spellEnd"/>
      <w:r w:rsidRPr="00B41FEE">
        <w:rPr>
          <w:rFonts w:eastAsia="Times New Roman" w:cstheme="minorHAnsi"/>
          <w:sz w:val="24"/>
          <w:szCs w:val="24"/>
          <w:lang w:eastAsia="pt-BR"/>
        </w:rPr>
        <w:t xml:space="preserve"> a solução proposta atende em apenas 50% ao exigido no Edital. Portanto, não achamos razoável e não entendemos ser equivalente o equipamento proposto ao mínimo exigido pelo Edital.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CD5DDB">
        <w:rPr>
          <w:rFonts w:eastAsia="Times New Roman" w:cstheme="minorHAnsi"/>
          <w:sz w:val="24"/>
          <w:szCs w:val="24"/>
          <w:lang w:eastAsia="pt-BR"/>
        </w:rPr>
        <w:t>Questionamento 04.6: item 11 - SWITCH: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lastRenderedPageBreak/>
        <w:t>1.    É solicitado no item “</w:t>
      </w:r>
      <w:r w:rsidRPr="00CD5DDB">
        <w:rPr>
          <w:rFonts w:eastAsia="Times New Roman" w:cstheme="minorHAnsi"/>
          <w:sz w:val="24"/>
          <w:szCs w:val="24"/>
          <w:lang w:eastAsia="pt-BR"/>
        </w:rPr>
        <w:t xml:space="preserve">1.6. Arquitetura </w:t>
      </w:r>
      <w:proofErr w:type="spellStart"/>
      <w:r w:rsidRPr="00CD5DDB">
        <w:rPr>
          <w:rFonts w:eastAsia="Times New Roman" w:cstheme="minorHAnsi"/>
          <w:sz w:val="24"/>
          <w:szCs w:val="24"/>
          <w:lang w:eastAsia="pt-BR"/>
        </w:rPr>
        <w:t>stackable</w:t>
      </w:r>
      <w:proofErr w:type="spellEnd"/>
      <w:r w:rsidRPr="00CD5DDB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spellStart"/>
      <w:r w:rsidRPr="00CD5DDB">
        <w:rPr>
          <w:rFonts w:eastAsia="Times New Roman" w:cstheme="minorHAnsi"/>
          <w:sz w:val="24"/>
          <w:szCs w:val="24"/>
          <w:lang w:eastAsia="pt-BR"/>
        </w:rPr>
        <w:t>empilhável</w:t>
      </w:r>
      <w:proofErr w:type="spellEnd"/>
      <w:r w:rsidRPr="00CD5DDB">
        <w:rPr>
          <w:rFonts w:eastAsia="Times New Roman" w:cstheme="minorHAnsi"/>
          <w:sz w:val="24"/>
          <w:szCs w:val="24"/>
          <w:lang w:eastAsia="pt-BR"/>
        </w:rPr>
        <w:t>), permitindo empilhamento de até 12 equipamentos;”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A quantidade solicitada de 12 restringe a participação no certame. Para assegurar a isonomia e permitir a participação do maior número de interessados no certame, trazendo uma competição justa entre os fabricantes com equipamentos equivalentes em tecnologia e capacidades, entendemos que ao ofertar equipamento com capacidade de empilhamento de até 9 (nove) switches, estaremos atendendo ao edital.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3B0B9D" w:rsidRPr="00B41FEE" w:rsidRDefault="003B0B9D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3B0B9D" w:rsidRPr="00B41FEE" w:rsidRDefault="003B0B9D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O entendimento não está correto, pois não atende as exigências mínimas do Edital. Pois existem ambientes na prefeitura de Maceió onde se exige um empilhamento de 12 switches e para isso o equipamento ofertado não atende.</w:t>
      </w:r>
    </w:p>
    <w:p w:rsidR="003B0B9D" w:rsidRPr="00B41FEE" w:rsidRDefault="003B0B9D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:rsidR="009F0CC6" w:rsidRPr="00B41FEE" w:rsidRDefault="009F0CC6" w:rsidP="00B41FEE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2.    É solicitado no item </w:t>
      </w:r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“1.</w:t>
      </w:r>
      <w:proofErr w:type="gramStart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>14.Tensão</w:t>
      </w:r>
      <w:proofErr w:type="gramEnd"/>
      <w:r w:rsidRPr="00B41FEE">
        <w:rPr>
          <w:rFonts w:eastAsia="Times New Roman" w:cstheme="minorHAnsi"/>
          <w:sz w:val="24"/>
          <w:szCs w:val="24"/>
          <w:u w:val="single"/>
          <w:lang w:eastAsia="pt-BR"/>
        </w:rPr>
        <w:t xml:space="preserve"> de alimentação interna de 110/220 V, 60 Hz, com chaveamento </w:t>
      </w:r>
      <w:r w:rsidRPr="00CD5DDB">
        <w:rPr>
          <w:rFonts w:eastAsia="Times New Roman" w:cstheme="minorHAnsi"/>
          <w:sz w:val="24"/>
          <w:szCs w:val="24"/>
          <w:lang w:eastAsia="pt-BR"/>
        </w:rPr>
        <w:t>automático e com certificação 80 Plus;”</w:t>
      </w:r>
    </w:p>
    <w:p w:rsidR="009F0CC6" w:rsidRPr="00B41FEE" w:rsidRDefault="009F0CC6" w:rsidP="00B41FEE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A certificação 80 Plus solicitada restringe a participação no certame. Para assegurar a isonomia e permitir a participação do maior número de interessados no certame, trazendo uma competição justa entre os fabricantes com equipamentos equivalentes, entendemos que a certificação 80 Plus não será obrigatória.</w:t>
      </w:r>
    </w:p>
    <w:p w:rsidR="009F0CC6" w:rsidRPr="00B41FEE" w:rsidRDefault="009F0CC6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É correto nosso entendimento?</w:t>
      </w:r>
    </w:p>
    <w:p w:rsidR="003B0B9D" w:rsidRPr="00B41FEE" w:rsidRDefault="003B0B9D" w:rsidP="00B41FE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41FEE" w:rsidRPr="00B41FEE" w:rsidRDefault="00B41FEE" w:rsidP="00B41FE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sz w:val="24"/>
          <w:szCs w:val="24"/>
          <w:lang w:eastAsia="pt-BR"/>
        </w:rPr>
        <w:t>Resposta da Comissão de Análise Técnica:</w:t>
      </w:r>
    </w:p>
    <w:p w:rsidR="00256604" w:rsidRPr="00B41FEE" w:rsidRDefault="00256604" w:rsidP="00B41FEE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Não está correto o entendimento, visto que:</w:t>
      </w:r>
    </w:p>
    <w:p w:rsidR="003B0B9D" w:rsidRPr="00B41FEE" w:rsidRDefault="003B0B9D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:rsidR="00A43E8E" w:rsidRPr="00B41FEE" w:rsidRDefault="00A43E8E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Segundo o Wikipedia</w:t>
      </w:r>
      <w:r w:rsidR="00C938EA" w:rsidRPr="00B41FEE">
        <w:rPr>
          <w:rFonts w:eastAsia="Times New Roman" w:cstheme="minorHAnsi"/>
          <w:sz w:val="24"/>
          <w:szCs w:val="24"/>
          <w:lang w:eastAsia="pt-BR"/>
        </w:rPr>
        <w:t xml:space="preserve"> em </w:t>
      </w:r>
      <w:hyperlink r:id="rId19" w:history="1">
        <w:r w:rsidR="00C938EA" w:rsidRPr="00B41FEE">
          <w:rPr>
            <w:rStyle w:val="Hyperlink"/>
            <w:rFonts w:cstheme="minorHAnsi"/>
            <w:color w:val="auto"/>
            <w:sz w:val="24"/>
            <w:szCs w:val="24"/>
          </w:rPr>
          <w:t>https://pt.wikipedia.org/wiki/80_Plus</w:t>
        </w:r>
      </w:hyperlink>
      <w:r w:rsidR="00C938EA" w:rsidRPr="00B41FEE">
        <w:rPr>
          <w:rFonts w:cstheme="minorHAnsi"/>
          <w:sz w:val="24"/>
          <w:szCs w:val="24"/>
        </w:rPr>
        <w:t>:</w:t>
      </w:r>
    </w:p>
    <w:p w:rsidR="00A43E8E" w:rsidRPr="00B41FEE" w:rsidRDefault="00C938EA" w:rsidP="00B41FEE">
      <w:pPr>
        <w:spacing w:after="0" w:line="240" w:lineRule="auto"/>
        <w:ind w:left="360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B41FEE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t>“</w:t>
      </w:r>
      <w:r w:rsidR="00A43E8E" w:rsidRPr="00B41FEE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t>80 Plus</w:t>
      </w:r>
      <w:hyperlink r:id="rId20" w:anchor="cite_note-ref1-1" w:history="1">
        <w:r w:rsidR="00A43E8E" w:rsidRPr="00B41FEE">
          <w:rPr>
            <w:rStyle w:val="Hyperlink"/>
            <w:rFonts w:eastAsia="Times New Roman" w:cstheme="minorHAnsi"/>
            <w:i/>
            <w:iCs/>
            <w:color w:val="auto"/>
            <w:sz w:val="24"/>
            <w:szCs w:val="24"/>
            <w:vertAlign w:val="superscript"/>
            <w:lang w:eastAsia="pt-BR"/>
          </w:rPr>
          <w:t>[1]</w:t>
        </w:r>
      </w:hyperlink>
      <w:r w:rsidR="00A43E8E" w:rsidRPr="00B41FEE">
        <w:rPr>
          <w:rFonts w:eastAsia="Times New Roman" w:cstheme="minorHAnsi"/>
          <w:i/>
          <w:iCs/>
          <w:sz w:val="24"/>
          <w:szCs w:val="24"/>
          <w:lang w:eastAsia="pt-BR"/>
        </w:rPr>
        <w:t> (estilizado </w:t>
      </w:r>
      <w:r w:rsidR="00A43E8E" w:rsidRPr="00B41FEE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t>80 PLUS</w:t>
      </w:r>
      <w:r w:rsidR="00A43E8E" w:rsidRPr="00B41FEE">
        <w:rPr>
          <w:rFonts w:eastAsia="Times New Roman" w:cstheme="minorHAnsi"/>
          <w:i/>
          <w:iCs/>
          <w:sz w:val="24"/>
          <w:szCs w:val="24"/>
          <w:lang w:eastAsia="pt-BR"/>
        </w:rPr>
        <w:t>) é um programa de certificação voluntária de </w:t>
      </w:r>
      <w:hyperlink r:id="rId21" w:tooltip="Eficiência energética" w:history="1">
        <w:r w:rsidR="00A43E8E" w:rsidRPr="00B41FEE">
          <w:rPr>
            <w:rStyle w:val="Hyperlink"/>
            <w:rFonts w:eastAsia="Times New Roman" w:cstheme="minorHAnsi"/>
            <w:i/>
            <w:iCs/>
            <w:color w:val="auto"/>
            <w:sz w:val="24"/>
            <w:szCs w:val="24"/>
            <w:lang w:eastAsia="pt-BR"/>
          </w:rPr>
          <w:t>eficiência de energia</w:t>
        </w:r>
      </w:hyperlink>
      <w:r w:rsidR="00A43E8E" w:rsidRPr="00B41FEE">
        <w:rPr>
          <w:rFonts w:eastAsia="Times New Roman" w:cstheme="minorHAnsi"/>
          <w:i/>
          <w:iCs/>
          <w:sz w:val="24"/>
          <w:szCs w:val="24"/>
          <w:lang w:eastAsia="pt-BR"/>
        </w:rPr>
        <w:t> de </w:t>
      </w:r>
      <w:hyperlink r:id="rId22" w:tooltip="Fonte de alimentação" w:history="1">
        <w:r w:rsidR="00A43E8E" w:rsidRPr="00B41FEE">
          <w:rPr>
            <w:rStyle w:val="Hyperlink"/>
            <w:rFonts w:eastAsia="Times New Roman" w:cstheme="minorHAnsi"/>
            <w:i/>
            <w:iCs/>
            <w:color w:val="auto"/>
            <w:sz w:val="24"/>
            <w:szCs w:val="24"/>
            <w:lang w:eastAsia="pt-BR"/>
          </w:rPr>
          <w:t>fontes de alimentação</w:t>
        </w:r>
      </w:hyperlink>
      <w:r w:rsidR="00A43E8E" w:rsidRPr="00B41FEE">
        <w:rPr>
          <w:rFonts w:eastAsia="Times New Roman" w:cstheme="minorHAnsi"/>
          <w:i/>
          <w:iCs/>
          <w:sz w:val="24"/>
          <w:szCs w:val="24"/>
          <w:lang w:eastAsia="pt-BR"/>
        </w:rPr>
        <w:t> para </w:t>
      </w:r>
      <w:hyperlink r:id="rId23" w:tooltip="Computador" w:history="1">
        <w:r w:rsidR="00A43E8E" w:rsidRPr="00B41FEE">
          <w:rPr>
            <w:rStyle w:val="Hyperlink"/>
            <w:rFonts w:eastAsia="Times New Roman" w:cstheme="minorHAnsi"/>
            <w:i/>
            <w:iCs/>
            <w:color w:val="auto"/>
            <w:sz w:val="24"/>
            <w:szCs w:val="24"/>
            <w:lang w:eastAsia="pt-BR"/>
          </w:rPr>
          <w:t>computadores</w:t>
        </w:r>
      </w:hyperlink>
      <w:r w:rsidR="00A43E8E" w:rsidRPr="00B41FEE">
        <w:rPr>
          <w:rFonts w:eastAsia="Times New Roman" w:cstheme="minorHAnsi"/>
          <w:i/>
          <w:iCs/>
          <w:sz w:val="24"/>
          <w:szCs w:val="24"/>
          <w:lang w:eastAsia="pt-BR"/>
        </w:rPr>
        <w:t>.</w:t>
      </w:r>
    </w:p>
    <w:p w:rsidR="00A43E8E" w:rsidRPr="00B41FEE" w:rsidRDefault="00A43E8E" w:rsidP="00B41FEE">
      <w:pPr>
        <w:spacing w:after="0" w:line="240" w:lineRule="auto"/>
        <w:ind w:left="360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Criado em 2004 pela </w:t>
      </w:r>
      <w:hyperlink r:id="rId24" w:tooltip="Ecos Consulting (página não existe)" w:history="1">
        <w:r w:rsidRPr="00B41FEE">
          <w:rPr>
            <w:rStyle w:val="Hyperlink"/>
            <w:rFonts w:eastAsia="Times New Roman" w:cstheme="minorHAnsi"/>
            <w:i/>
            <w:iCs/>
            <w:color w:val="auto"/>
            <w:sz w:val="24"/>
            <w:szCs w:val="24"/>
            <w:lang w:eastAsia="pt-BR"/>
          </w:rPr>
          <w:t>Ecos Consulting</w:t>
        </w:r>
      </w:hyperlink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, ela certifica produtos que tem mais que 80% de </w:t>
      </w:r>
      <w:hyperlink r:id="rId25" w:tooltip="Eficiência energética" w:history="1">
        <w:r w:rsidRPr="00B41FEE">
          <w:rPr>
            <w:rStyle w:val="Hyperlink"/>
            <w:rFonts w:eastAsia="Times New Roman" w:cstheme="minorHAnsi"/>
            <w:i/>
            <w:iCs/>
            <w:color w:val="auto"/>
            <w:sz w:val="24"/>
            <w:szCs w:val="24"/>
            <w:lang w:eastAsia="pt-BR"/>
          </w:rPr>
          <w:t>eficiência energética</w:t>
        </w:r>
      </w:hyperlink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 com 20%, 50% e 100% de carga de uso (também em 10% na certificação 80 Plus </w:t>
      </w:r>
      <w:proofErr w:type="spell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Titanium</w:t>
      </w:r>
      <w:proofErr w:type="spell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), e um </w:t>
      </w:r>
      <w:hyperlink r:id="rId26" w:tooltip="Fator de potência" w:history="1">
        <w:r w:rsidRPr="00B41FEE">
          <w:rPr>
            <w:rStyle w:val="Hyperlink"/>
            <w:rFonts w:eastAsia="Times New Roman" w:cstheme="minorHAnsi"/>
            <w:i/>
            <w:iCs/>
            <w:color w:val="auto"/>
            <w:sz w:val="24"/>
            <w:szCs w:val="24"/>
            <w:lang w:eastAsia="pt-BR"/>
          </w:rPr>
          <w:t>fator de potência</w:t>
        </w:r>
      </w:hyperlink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 de 0,9 ou mais com 100% de carga de uso. Essas fontes certificadas desperdiçam menos de 20% de energia elétrica na forma de calor nos níveis de uso referidos anteriormente, reduzindo o desperdício de energia e a conta de luz, quando comparadas </w:t>
      </w:r>
      <w:proofErr w:type="gram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à</w:t>
      </w:r>
      <w:proofErr w:type="gram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fontes sem a certificação.</w:t>
      </w:r>
      <w:r w:rsidR="00C938EA" w:rsidRPr="00B41FEE">
        <w:rPr>
          <w:rFonts w:eastAsia="Times New Roman" w:cstheme="minorHAnsi"/>
          <w:i/>
          <w:iCs/>
          <w:sz w:val="24"/>
          <w:szCs w:val="24"/>
          <w:lang w:eastAsia="pt-BR"/>
        </w:rPr>
        <w:t>”</w:t>
      </w:r>
    </w:p>
    <w:p w:rsidR="00A43E8E" w:rsidRPr="00B41FEE" w:rsidRDefault="00A43E8E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:rsidR="00C938EA" w:rsidRPr="00B41FEE" w:rsidRDefault="00A43E8E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Segundo</w:t>
      </w:r>
      <w:r w:rsidR="00C938EA" w:rsidRPr="00B41FEE">
        <w:rPr>
          <w:rFonts w:eastAsia="Times New Roman" w:cstheme="minorHAnsi"/>
          <w:sz w:val="24"/>
          <w:szCs w:val="24"/>
          <w:lang w:eastAsia="pt-BR"/>
        </w:rPr>
        <w:t xml:space="preserve"> o Clube do Hardware em https://www.clubedohardware.com.br/artigos/energia/tudo-o-que-voc%C3%AA-precisa-saber-sobre-a-certifica%C3%A7%C3%A3o-80-plus-r35087/:</w:t>
      </w:r>
    </w:p>
    <w:p w:rsidR="00C938EA" w:rsidRPr="00B41FEE" w:rsidRDefault="00C938EA" w:rsidP="00B41FEE">
      <w:pPr>
        <w:spacing w:after="0" w:line="240" w:lineRule="auto"/>
        <w:ind w:left="360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lastRenderedPageBreak/>
        <w:t xml:space="preserve">“A certificação 80 Plus foi criada para permitir que os consumidores saibam quais fontes de alimentação são mais eficientes e, como o próprio nome sugere, garantir que a fonte é capaz de apresentar eficiência de pelo menos 80%. Atualmente existes seis certificações 80 Plus: tradicional (“branca”), Bronze, Silver, Gold, Platinum e </w:t>
      </w:r>
      <w:proofErr w:type="spellStart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Titanium</w:t>
      </w:r>
      <w:proofErr w:type="spellEnd"/>
      <w:r w:rsidRPr="00B41FEE">
        <w:rPr>
          <w:rFonts w:eastAsia="Times New Roman" w:cstheme="minorHAnsi"/>
          <w:i/>
          <w:iCs/>
          <w:sz w:val="24"/>
          <w:szCs w:val="24"/>
          <w:lang w:eastAsia="pt-BR"/>
        </w:rPr>
        <w:t>.”</w:t>
      </w:r>
    </w:p>
    <w:p w:rsidR="00A43E8E" w:rsidRPr="00B41FEE" w:rsidRDefault="00A43E8E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:rsidR="00A43E8E" w:rsidRPr="00B41FEE" w:rsidRDefault="00C938EA" w:rsidP="00B41FE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 xml:space="preserve">A exigência de uma fonte 80Plus para o equipamento baseia-se pela necessidade de além de atestar a eficiência enérgica, atestar também que a fonte opere dentro da capacidade máxima do switch com folga. Garantindo </w:t>
      </w:r>
      <w:r w:rsidR="00256604" w:rsidRPr="00B41FEE">
        <w:rPr>
          <w:rFonts w:eastAsia="Times New Roman" w:cstheme="minorHAnsi"/>
          <w:sz w:val="24"/>
          <w:szCs w:val="24"/>
          <w:lang w:eastAsia="pt-BR"/>
        </w:rPr>
        <w:t xml:space="preserve">uma maior disponibilidade do equipamento, longevidade e economia de energia, objetivando a diminuição de gastos pela </w:t>
      </w:r>
      <w:r w:rsidR="005F6C47">
        <w:rPr>
          <w:rFonts w:eastAsia="Times New Roman" w:cstheme="minorHAnsi"/>
          <w:sz w:val="24"/>
          <w:szCs w:val="24"/>
          <w:lang w:eastAsia="pt-BR"/>
        </w:rPr>
        <w:t>ad</w:t>
      </w:r>
      <w:r w:rsidR="00256604" w:rsidRPr="00B41FEE">
        <w:rPr>
          <w:rFonts w:eastAsia="Times New Roman" w:cstheme="minorHAnsi"/>
          <w:sz w:val="24"/>
          <w:szCs w:val="24"/>
          <w:lang w:eastAsia="pt-BR"/>
        </w:rPr>
        <w:t>ministração pública.</w:t>
      </w:r>
    </w:p>
    <w:p w:rsidR="009F0CC6" w:rsidRPr="00B41FEE" w:rsidRDefault="009F0CC6" w:rsidP="00B41F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41FEE">
        <w:rPr>
          <w:rFonts w:eastAsia="Times New Roman" w:cstheme="minorHAnsi"/>
          <w:sz w:val="24"/>
          <w:szCs w:val="24"/>
          <w:lang w:eastAsia="pt-BR"/>
        </w:rPr>
        <w:t> </w:t>
      </w:r>
    </w:p>
    <w:p w:rsidR="00B41FEE" w:rsidRPr="00B41FEE" w:rsidRDefault="00B41FEE" w:rsidP="00B41FEE">
      <w:pPr>
        <w:jc w:val="center"/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>Maceió, 27 de março de 2020</w:t>
      </w:r>
    </w:p>
    <w:p w:rsidR="00B41FEE" w:rsidRPr="00B41FEE" w:rsidRDefault="00B41FEE" w:rsidP="00B41FEE">
      <w:pPr>
        <w:rPr>
          <w:rFonts w:cstheme="minorHAnsi"/>
          <w:sz w:val="24"/>
          <w:szCs w:val="24"/>
        </w:rPr>
      </w:pPr>
    </w:p>
    <w:p w:rsidR="00B41FEE" w:rsidRPr="00B41FEE" w:rsidRDefault="00B41FEE" w:rsidP="00B41FEE">
      <w:pPr>
        <w:rPr>
          <w:rFonts w:cstheme="minorHAnsi"/>
          <w:sz w:val="24"/>
          <w:szCs w:val="24"/>
        </w:rPr>
      </w:pPr>
      <w:proofErr w:type="spellStart"/>
      <w:r w:rsidRPr="00B41FEE">
        <w:rPr>
          <w:rFonts w:cstheme="minorHAnsi"/>
          <w:sz w:val="24"/>
          <w:szCs w:val="24"/>
        </w:rPr>
        <w:t>Divanilda</w:t>
      </w:r>
      <w:proofErr w:type="spellEnd"/>
      <w:r w:rsidRPr="00B41FEE">
        <w:rPr>
          <w:rFonts w:cstheme="minorHAnsi"/>
          <w:sz w:val="24"/>
          <w:szCs w:val="24"/>
        </w:rPr>
        <w:t xml:space="preserve"> Guedes de Farias</w:t>
      </w:r>
    </w:p>
    <w:p w:rsidR="00B41FEE" w:rsidRPr="00B41FEE" w:rsidRDefault="00B41FEE" w:rsidP="00B41FEE">
      <w:pPr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>Pregoeira</w:t>
      </w:r>
    </w:p>
    <w:p w:rsidR="00B41FEE" w:rsidRPr="00B41FEE" w:rsidRDefault="00B41FEE" w:rsidP="00B41FEE">
      <w:pPr>
        <w:rPr>
          <w:rFonts w:cstheme="minorHAnsi"/>
          <w:sz w:val="24"/>
          <w:szCs w:val="24"/>
        </w:rPr>
      </w:pPr>
    </w:p>
    <w:p w:rsidR="003411D2" w:rsidRPr="00B41FEE" w:rsidRDefault="003411D2" w:rsidP="00B41FEE">
      <w:pPr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 xml:space="preserve">Comissão de Análise Técnica: </w:t>
      </w:r>
    </w:p>
    <w:p w:rsidR="003411D2" w:rsidRPr="00B41FEE" w:rsidRDefault="003411D2" w:rsidP="00B41FEE">
      <w:pPr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 xml:space="preserve">Jacson </w:t>
      </w:r>
      <w:proofErr w:type="spellStart"/>
      <w:r w:rsidRPr="00B41FEE">
        <w:rPr>
          <w:rFonts w:cstheme="minorHAnsi"/>
          <w:sz w:val="24"/>
          <w:szCs w:val="24"/>
        </w:rPr>
        <w:t>Luis</w:t>
      </w:r>
      <w:proofErr w:type="spellEnd"/>
      <w:r w:rsidRPr="00B41FEE">
        <w:rPr>
          <w:rFonts w:cstheme="minorHAnsi"/>
          <w:sz w:val="24"/>
          <w:szCs w:val="24"/>
        </w:rPr>
        <w:t xml:space="preserve"> Alves da Silva</w:t>
      </w:r>
    </w:p>
    <w:p w:rsidR="003411D2" w:rsidRPr="00B41FEE" w:rsidRDefault="003411D2" w:rsidP="00B41FEE">
      <w:pPr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>André Ferreira Sarmento</w:t>
      </w:r>
    </w:p>
    <w:p w:rsidR="003411D2" w:rsidRPr="00B41FEE" w:rsidRDefault="003411D2" w:rsidP="00B41FEE">
      <w:pPr>
        <w:rPr>
          <w:rFonts w:cstheme="minorHAnsi"/>
          <w:sz w:val="24"/>
          <w:szCs w:val="24"/>
        </w:rPr>
      </w:pPr>
      <w:r w:rsidRPr="00B41FEE">
        <w:rPr>
          <w:rFonts w:cstheme="minorHAnsi"/>
          <w:sz w:val="24"/>
          <w:szCs w:val="24"/>
        </w:rPr>
        <w:t>João Geraldo de Oliveira Lima</w:t>
      </w:r>
    </w:p>
    <w:p w:rsidR="003411D2" w:rsidRPr="00B41FEE" w:rsidRDefault="003411D2" w:rsidP="00B41FEE">
      <w:pPr>
        <w:spacing w:line="233" w:lineRule="atLeast"/>
        <w:rPr>
          <w:rFonts w:eastAsia="Times New Roman" w:cstheme="minorHAnsi"/>
          <w:sz w:val="24"/>
          <w:szCs w:val="24"/>
          <w:lang w:eastAsia="pt-BR"/>
        </w:rPr>
      </w:pPr>
    </w:p>
    <w:p w:rsidR="00B33DC0" w:rsidRPr="00B41FEE" w:rsidRDefault="008E6400" w:rsidP="00B41FEE">
      <w:pPr>
        <w:rPr>
          <w:rFonts w:cstheme="minorHAnsi"/>
          <w:sz w:val="24"/>
          <w:szCs w:val="24"/>
        </w:rPr>
      </w:pPr>
    </w:p>
    <w:sectPr w:rsidR="00B33DC0" w:rsidRPr="00B41FEE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400" w:rsidRDefault="008E6400" w:rsidP="00B41FEE">
      <w:pPr>
        <w:spacing w:after="0" w:line="240" w:lineRule="auto"/>
      </w:pPr>
      <w:r>
        <w:separator/>
      </w:r>
    </w:p>
  </w:endnote>
  <w:endnote w:type="continuationSeparator" w:id="0">
    <w:p w:rsidR="008E6400" w:rsidRDefault="008E6400" w:rsidP="00B4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400" w:rsidRDefault="008E6400" w:rsidP="00B41FEE">
      <w:pPr>
        <w:spacing w:after="0" w:line="240" w:lineRule="auto"/>
      </w:pPr>
      <w:r>
        <w:separator/>
      </w:r>
    </w:p>
  </w:footnote>
  <w:footnote w:type="continuationSeparator" w:id="0">
    <w:p w:rsidR="008E6400" w:rsidRDefault="008E6400" w:rsidP="00B4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FEE" w:rsidRPr="00CC7B8B" w:rsidRDefault="00B41FEE" w:rsidP="00B41FEE">
    <w:pPr>
      <w:pStyle w:val="Cabealho"/>
      <w:jc w:val="center"/>
      <w:rPr>
        <w:rFonts w:cstheme="minorHAnsi"/>
        <w:color w:val="000000" w:themeColor="text1"/>
        <w:sz w:val="24"/>
        <w:szCs w:val="24"/>
      </w:rPr>
    </w:pPr>
    <w:r w:rsidRPr="00CC7B8B">
      <w:rPr>
        <w:rFonts w:cstheme="minorHAnsi"/>
        <w:noProof/>
        <w:color w:val="000000" w:themeColor="text1"/>
        <w:sz w:val="24"/>
        <w:szCs w:val="24"/>
        <w:lang w:eastAsia="pt-BR"/>
      </w:rPr>
      <w:drawing>
        <wp:inline distT="0" distB="0" distL="0" distR="0" wp14:anchorId="7BE9086A" wp14:editId="35F4D4D4">
          <wp:extent cx="2258246" cy="534670"/>
          <wp:effectExtent l="0" t="0" r="889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818" cy="570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FEE" w:rsidRPr="00CC7B8B" w:rsidRDefault="00B41FEE" w:rsidP="00B41FEE">
    <w:pPr>
      <w:keepNext/>
      <w:tabs>
        <w:tab w:val="center" w:pos="4890"/>
        <w:tab w:val="left" w:pos="7022"/>
        <w:tab w:val="left" w:pos="7400"/>
      </w:tabs>
      <w:spacing w:after="0" w:line="240" w:lineRule="auto"/>
      <w:jc w:val="center"/>
      <w:outlineLvl w:val="2"/>
      <w:rPr>
        <w:rFonts w:eastAsia="Times New Roman" w:cstheme="minorHAnsi"/>
        <w:b/>
        <w:bCs/>
        <w:color w:val="000000" w:themeColor="text1"/>
        <w:sz w:val="24"/>
        <w:szCs w:val="24"/>
        <w:lang w:eastAsia="pt-BR"/>
      </w:rPr>
    </w:pPr>
  </w:p>
  <w:p w:rsidR="00B41FEE" w:rsidRPr="00CC7B8B" w:rsidRDefault="00B41FEE" w:rsidP="00B41FEE">
    <w:pPr>
      <w:keepNext/>
      <w:tabs>
        <w:tab w:val="center" w:pos="4890"/>
        <w:tab w:val="left" w:pos="7022"/>
        <w:tab w:val="left" w:pos="7400"/>
      </w:tabs>
      <w:spacing w:after="0" w:line="240" w:lineRule="auto"/>
      <w:jc w:val="center"/>
      <w:outlineLvl w:val="2"/>
      <w:rPr>
        <w:rFonts w:eastAsia="Times New Roman" w:cstheme="minorHAnsi"/>
        <w:b/>
        <w:bCs/>
        <w:color w:val="000000" w:themeColor="text1"/>
        <w:sz w:val="24"/>
        <w:szCs w:val="24"/>
        <w:lang w:eastAsia="pt-BR"/>
      </w:rPr>
    </w:pPr>
    <w:r w:rsidRPr="00CC7B8B">
      <w:rPr>
        <w:rFonts w:eastAsia="Times New Roman" w:cstheme="minorHAnsi"/>
        <w:b/>
        <w:bCs/>
        <w:color w:val="000000" w:themeColor="text1"/>
        <w:sz w:val="24"/>
        <w:szCs w:val="24"/>
        <w:lang w:eastAsia="pt-BR"/>
      </w:rPr>
      <w:t>COMISSÃO PERMANENTE DE LICITAÇÃO/ARSER</w:t>
    </w:r>
  </w:p>
  <w:p w:rsidR="00B41FEE" w:rsidRPr="00CC7B8B" w:rsidRDefault="00B41FEE" w:rsidP="00B41FEE">
    <w:pPr>
      <w:spacing w:after="0" w:line="240" w:lineRule="auto"/>
      <w:jc w:val="center"/>
      <w:rPr>
        <w:rFonts w:eastAsia="Times New Roman" w:cstheme="minorHAnsi"/>
        <w:color w:val="000000" w:themeColor="text1"/>
        <w:sz w:val="24"/>
        <w:szCs w:val="24"/>
        <w:lang w:eastAsia="pt-BR"/>
      </w:rPr>
    </w:pPr>
    <w:r w:rsidRPr="00CC7B8B">
      <w:rPr>
        <w:rFonts w:eastAsia="Times New Roman" w:cstheme="minorHAnsi"/>
        <w:color w:val="000000" w:themeColor="text1"/>
        <w:sz w:val="24"/>
        <w:szCs w:val="24"/>
        <w:lang w:eastAsia="pt-BR"/>
      </w:rPr>
      <w:t>Rua Engenheiro Roberto Gonçalves Menezes nº 71 – Centro – Maceió/Al – CEP: 57.020-680</w:t>
    </w:r>
  </w:p>
  <w:p w:rsidR="00B41FEE" w:rsidRPr="00B41FEE" w:rsidRDefault="00B41FEE" w:rsidP="00B41F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C6"/>
    <w:rsid w:val="00031824"/>
    <w:rsid w:val="0015573C"/>
    <w:rsid w:val="0019081D"/>
    <w:rsid w:val="001B0887"/>
    <w:rsid w:val="001E034E"/>
    <w:rsid w:val="00256604"/>
    <w:rsid w:val="00263A49"/>
    <w:rsid w:val="00324D79"/>
    <w:rsid w:val="003411D2"/>
    <w:rsid w:val="003B0B9D"/>
    <w:rsid w:val="00441706"/>
    <w:rsid w:val="005E2DC6"/>
    <w:rsid w:val="005F6C47"/>
    <w:rsid w:val="008A798E"/>
    <w:rsid w:val="008E6400"/>
    <w:rsid w:val="009C0C6A"/>
    <w:rsid w:val="009F0CC6"/>
    <w:rsid w:val="00A43E8E"/>
    <w:rsid w:val="00AA2EE0"/>
    <w:rsid w:val="00B41FEE"/>
    <w:rsid w:val="00C938EA"/>
    <w:rsid w:val="00CD5DDB"/>
    <w:rsid w:val="00E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A4A69-7B42-4BC8-A899-7CBF3B08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3E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E8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1FEE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1FEE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B41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41FEE"/>
  </w:style>
  <w:style w:type="paragraph" w:styleId="Rodap">
    <w:name w:val="footer"/>
    <w:basedOn w:val="Normal"/>
    <w:link w:val="RodapChar"/>
    <w:uiPriority w:val="99"/>
    <w:unhideWhenUsed/>
    <w:rsid w:val="00B41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ware.com/resources/compatibility" TargetMode="External"/><Relationship Id="rId13" Type="http://schemas.openxmlformats.org/officeDocument/2006/relationships/hyperlink" Target="https://hardware.redhat.com/hwcert/index.cgi" TargetMode="External"/><Relationship Id="rId18" Type="http://schemas.openxmlformats.org/officeDocument/2006/relationships/hyperlink" Target="callto:0,%201,%205,%206,%2010" TargetMode="External"/><Relationship Id="rId26" Type="http://schemas.openxmlformats.org/officeDocument/2006/relationships/hyperlink" Target="https://pt.wikipedia.org/wiki/Fator_de_pot%C3%AAnc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t.wikipedia.org/wiki/Efici%C3%AAncia_energ%C3%A9tica" TargetMode="External"/><Relationship Id="rId7" Type="http://schemas.openxmlformats.org/officeDocument/2006/relationships/hyperlink" Target="https://hardware.redhat.com/hwcert/index.cgi" TargetMode="External"/><Relationship Id="rId12" Type="http://schemas.openxmlformats.org/officeDocument/2006/relationships/hyperlink" Target="http://www.windowsservercatalog.com/" TargetMode="External"/><Relationship Id="rId17" Type="http://schemas.openxmlformats.org/officeDocument/2006/relationships/hyperlink" Target="http://www.vmware.com/resources/compatibility" TargetMode="External"/><Relationship Id="rId25" Type="http://schemas.openxmlformats.org/officeDocument/2006/relationships/hyperlink" Target="https://pt.wikipedia.org/wiki/Efici%C3%AAncia_energ%C3%A9ti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rdware.redhat.com/hwcert/index.cgi" TargetMode="External"/><Relationship Id="rId20" Type="http://schemas.openxmlformats.org/officeDocument/2006/relationships/hyperlink" Target="https://pt.wikipedia.org/wiki/80_Plu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dowsservercatalog.com/" TargetMode="External"/><Relationship Id="rId11" Type="http://schemas.openxmlformats.org/officeDocument/2006/relationships/hyperlink" Target="http://www.vmware.com/resources/compatibility" TargetMode="External"/><Relationship Id="rId24" Type="http://schemas.openxmlformats.org/officeDocument/2006/relationships/hyperlink" Target="https://pt.wikipedia.org/w/index.php?title=Ecos_Consulting&amp;action=edit&amp;redlink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windowsservercatalog.com/" TargetMode="External"/><Relationship Id="rId23" Type="http://schemas.openxmlformats.org/officeDocument/2006/relationships/hyperlink" Target="https://pt.wikipedia.org/wiki/Computado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dware.redhat.com/hwcert/index.cgi" TargetMode="External"/><Relationship Id="rId19" Type="http://schemas.openxmlformats.org/officeDocument/2006/relationships/hyperlink" Target="https://pt.wikipedia.org/wiki/80_Pl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dowsservercatalog.com/" TargetMode="External"/><Relationship Id="rId14" Type="http://schemas.openxmlformats.org/officeDocument/2006/relationships/hyperlink" Target="http://www.vmware.com/resources/compatibility" TargetMode="External"/><Relationship Id="rId22" Type="http://schemas.openxmlformats.org/officeDocument/2006/relationships/hyperlink" Target="https://pt.wikipedia.org/wiki/Fonte_de_alimenta%C3%A7%C3%A3o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3671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Jacson</dc:creator>
  <cp:keywords/>
  <dc:description/>
  <cp:lastModifiedBy>Lins</cp:lastModifiedBy>
  <cp:revision>2</cp:revision>
  <dcterms:created xsi:type="dcterms:W3CDTF">2020-03-27T16:10:00Z</dcterms:created>
  <dcterms:modified xsi:type="dcterms:W3CDTF">2020-03-27T16:10:00Z</dcterms:modified>
</cp:coreProperties>
</file>