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0E" w:rsidRPr="00962A91" w:rsidRDefault="00AF400E" w:rsidP="00640B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0BF5" w:rsidRPr="00962A91" w:rsidRDefault="008E60B4" w:rsidP="008E60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A91">
        <w:rPr>
          <w:rFonts w:ascii="Times New Roman" w:hAnsi="Times New Roman" w:cs="Times New Roman"/>
          <w:sz w:val="24"/>
          <w:szCs w:val="24"/>
        </w:rPr>
        <w:t>ANEXO III</w:t>
      </w:r>
    </w:p>
    <w:p w:rsidR="00306547" w:rsidRPr="00962A91" w:rsidRDefault="008E60B4" w:rsidP="008E60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A91">
        <w:rPr>
          <w:rFonts w:ascii="Times New Roman" w:hAnsi="Times New Roman" w:cs="Times New Roman"/>
          <w:sz w:val="24"/>
          <w:szCs w:val="24"/>
        </w:rPr>
        <w:t>DIVISÃO DE COTAS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857"/>
        <w:gridCol w:w="3355"/>
        <w:gridCol w:w="1111"/>
        <w:gridCol w:w="1247"/>
        <w:gridCol w:w="2043"/>
      </w:tblGrid>
      <w:tr w:rsidR="00962A91" w:rsidRPr="00962A91" w:rsidTr="00D7553F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962A91" w:rsidRPr="00962A91" w:rsidRDefault="00962A91" w:rsidP="0060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962A91" w:rsidRPr="00962A91" w:rsidRDefault="00962A91" w:rsidP="0060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sz w:val="24"/>
                <w:szCs w:val="24"/>
              </w:rPr>
              <w:t>DESCRIÇÃO/ ESPECIFICAÇÃO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962A91" w:rsidRPr="00962A91" w:rsidRDefault="00962A91" w:rsidP="0060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962A91" w:rsidRPr="00962A91" w:rsidRDefault="00962A91" w:rsidP="0060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62A91" w:rsidRPr="00962A91" w:rsidRDefault="00962A91" w:rsidP="0060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962A91" w:rsidRPr="00962A91" w:rsidTr="00D7553F">
        <w:tc>
          <w:tcPr>
            <w:tcW w:w="857" w:type="dxa"/>
            <w:tcBorders>
              <w:top w:val="single" w:sz="4" w:space="0" w:color="auto"/>
            </w:tcBorders>
          </w:tcPr>
          <w:p w:rsidR="00962A91" w:rsidRPr="00962A91" w:rsidRDefault="00962A91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Coletor de urina sistema fechado, tipo bolsa, para perna, capacidade 500 </w:t>
            </w:r>
            <w:proofErr w:type="spellStart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mL</w:t>
            </w:r>
            <w:proofErr w:type="spellEnd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PVC atóxico, válvula </w:t>
            </w:r>
            <w:proofErr w:type="spellStart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antirrefluxo</w:t>
            </w:r>
            <w:proofErr w:type="spellEnd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tubo extensor em PVC atóxico transparente, flexível, escala de volume impressa e alça com </w:t>
            </w:r>
            <w:proofErr w:type="spellStart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clamp</w:t>
            </w:r>
            <w:proofErr w:type="spellEnd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corta fluxo, conector de entrada e saída da drenagem, tiras elásticas para fixação na perna (com regulagem), torneira de escoamento de fluídos na parte inferior, estéril.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Unidade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sz w:val="24"/>
                <w:szCs w:val="24"/>
              </w:rPr>
              <w:t>COTA RESERVADA (PARTICIPAÇÃO ME E EPP</w:t>
            </w:r>
            <w:proofErr w:type="gramStart"/>
            <w:r w:rsidRPr="00DA2E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DA2E47">
              <w:rPr>
                <w:rFonts w:ascii="Times New Roman" w:hAnsi="Times New Roman" w:cs="Times New Roman"/>
                <w:sz w:val="24"/>
                <w:szCs w:val="24"/>
              </w:rPr>
              <w:t>–10 %)</w:t>
            </w:r>
          </w:p>
        </w:tc>
      </w:tr>
      <w:tr w:rsidR="00962A91" w:rsidRPr="00962A91" w:rsidTr="00D7553F">
        <w:tc>
          <w:tcPr>
            <w:tcW w:w="857" w:type="dxa"/>
          </w:tcPr>
          <w:p w:rsidR="00962A91" w:rsidRPr="00962A91" w:rsidRDefault="00962A91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3355" w:type="dxa"/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Coletor de urina sistema fechado, tipo bolsa, para perna, capacidade 500 </w:t>
            </w:r>
            <w:proofErr w:type="spellStart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mL</w:t>
            </w:r>
            <w:proofErr w:type="spellEnd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PVC atóxico, válvula </w:t>
            </w:r>
            <w:proofErr w:type="spellStart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antirrefluxo</w:t>
            </w:r>
            <w:proofErr w:type="spellEnd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tubo extensor em PVC atóxico transparente, flexível, escala de volume impressa e alça com </w:t>
            </w:r>
            <w:proofErr w:type="spellStart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clamp</w:t>
            </w:r>
            <w:proofErr w:type="spellEnd"/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corta fluxo, conector de entrada e saída da drenagem, tiras elásticas para fixação na perna (com regulagem), torneira de escoamento de fluídos na parte inferior, estéril.</w:t>
            </w:r>
          </w:p>
        </w:tc>
        <w:tc>
          <w:tcPr>
            <w:tcW w:w="1111" w:type="dxa"/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Unidade</w:t>
            </w:r>
          </w:p>
        </w:tc>
        <w:tc>
          <w:tcPr>
            <w:tcW w:w="1247" w:type="dxa"/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4.500</w:t>
            </w:r>
          </w:p>
        </w:tc>
        <w:tc>
          <w:tcPr>
            <w:tcW w:w="2043" w:type="dxa"/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sz w:val="24"/>
                <w:szCs w:val="24"/>
              </w:rPr>
              <w:t>COTA PRINCIPAL (AMPLA PARTICIPAÇÃO – 90 %)</w:t>
            </w:r>
          </w:p>
        </w:tc>
      </w:tr>
      <w:tr w:rsidR="00962A91" w:rsidRPr="00962A91" w:rsidTr="00D7553F">
        <w:tc>
          <w:tcPr>
            <w:tcW w:w="857" w:type="dxa"/>
          </w:tcPr>
          <w:p w:rsidR="00962A91" w:rsidRPr="00962A91" w:rsidRDefault="00962A91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End"/>
          </w:p>
        </w:tc>
        <w:tc>
          <w:tcPr>
            <w:tcW w:w="3355" w:type="dxa"/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Máscara cirúrgica de proteção profissional oval N95 PFF2</w:t>
            </w:r>
          </w:p>
        </w:tc>
        <w:tc>
          <w:tcPr>
            <w:tcW w:w="1111" w:type="dxa"/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Unidade</w:t>
            </w:r>
          </w:p>
        </w:tc>
        <w:tc>
          <w:tcPr>
            <w:tcW w:w="1247" w:type="dxa"/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5.400</w:t>
            </w:r>
          </w:p>
        </w:tc>
        <w:tc>
          <w:tcPr>
            <w:tcW w:w="2043" w:type="dxa"/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sz w:val="24"/>
                <w:szCs w:val="24"/>
              </w:rPr>
              <w:t>COTA RESERVADA (PARTICIPAÇÃO ME E EPP</w:t>
            </w:r>
            <w:proofErr w:type="gramStart"/>
            <w:r w:rsidRPr="00DA2E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DA2E47">
              <w:rPr>
                <w:rFonts w:ascii="Times New Roman" w:hAnsi="Times New Roman" w:cs="Times New Roman"/>
                <w:sz w:val="24"/>
                <w:szCs w:val="24"/>
              </w:rPr>
              <w:t>–9%)</w:t>
            </w:r>
          </w:p>
        </w:tc>
      </w:tr>
      <w:tr w:rsidR="00962A91" w:rsidRPr="00962A91" w:rsidTr="00D7553F">
        <w:tc>
          <w:tcPr>
            <w:tcW w:w="857" w:type="dxa"/>
          </w:tcPr>
          <w:p w:rsidR="00962A91" w:rsidRPr="00962A91" w:rsidRDefault="00962A91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3355" w:type="dxa"/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bCs/>
                <w:sz w:val="24"/>
                <w:szCs w:val="24"/>
              </w:rPr>
              <w:t>Máscara cirúrgica de proteção profissional oval N95 PFF2</w:t>
            </w:r>
          </w:p>
        </w:tc>
        <w:tc>
          <w:tcPr>
            <w:tcW w:w="1111" w:type="dxa"/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Unidade</w:t>
            </w:r>
          </w:p>
        </w:tc>
        <w:tc>
          <w:tcPr>
            <w:tcW w:w="1247" w:type="dxa"/>
          </w:tcPr>
          <w:p w:rsidR="00962A91" w:rsidRPr="00D7553F" w:rsidRDefault="00DA2E47" w:rsidP="008E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Cs/>
                <w:sz w:val="24"/>
                <w:szCs w:val="24"/>
              </w:rPr>
              <w:t>54.600</w:t>
            </w:r>
          </w:p>
        </w:tc>
        <w:tc>
          <w:tcPr>
            <w:tcW w:w="2043" w:type="dxa"/>
          </w:tcPr>
          <w:p w:rsidR="00962A91" w:rsidRPr="00962A91" w:rsidRDefault="00DA2E47" w:rsidP="00D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E47">
              <w:rPr>
                <w:rFonts w:ascii="Times New Roman" w:hAnsi="Times New Roman" w:cs="Times New Roman"/>
                <w:sz w:val="24"/>
                <w:szCs w:val="24"/>
              </w:rPr>
              <w:t>COTA PRINCIPAL (AMPLA PARTICIPAÇÃO – 91%)</w:t>
            </w:r>
          </w:p>
        </w:tc>
      </w:tr>
    </w:tbl>
    <w:p w:rsidR="00DD352B" w:rsidRPr="00962A91" w:rsidRDefault="00DD352B" w:rsidP="00DD35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644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644"/>
      </w:tblGrid>
      <w:tr w:rsidR="00962A91" w:rsidRPr="00962A91" w:rsidTr="00962A91">
        <w:tc>
          <w:tcPr>
            <w:tcW w:w="8644" w:type="dxa"/>
            <w:shd w:val="clear" w:color="auto" w:fill="A6A6A6" w:themeFill="background1" w:themeFillShade="A6"/>
          </w:tcPr>
          <w:p w:rsidR="00962A91" w:rsidRPr="00962A91" w:rsidRDefault="00D7553F" w:rsidP="00DA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EXCLUSIVA PARA ME/EPP</w:t>
            </w:r>
          </w:p>
        </w:tc>
      </w:tr>
    </w:tbl>
    <w:p w:rsidR="00962A91" w:rsidRPr="00962A91" w:rsidRDefault="00962A91" w:rsidP="00962A9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857"/>
        <w:gridCol w:w="4744"/>
        <w:gridCol w:w="1248"/>
        <w:gridCol w:w="1764"/>
      </w:tblGrid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proofErr w:type="gramEnd"/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Anuscópio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proctológico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fechado, tamanho único, contendo corpo transparente, êmbolo e ponteira do êmbolo com dimensões </w:t>
            </w: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aproximadas do corpo: diâmetro proximal: 3,5 cm; diâmetro distal: 1,8 cm; comprimento do corpo: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cm;  e dimensões aproximadas do êmbolo: 14 cm, descartável, embalado individualmente em saco plástico.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lastRenderedPageBreak/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proofErr w:type="gramEnd"/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Biopsy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punch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3mm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(Haste plástica fabricada em poliestireno,  com dimensões aproximadas de: 8,5cm de comprimento; multifacetada na sua metade superior; diâmetro proximal de 0,8 cm e distal de 0,4 cm. Acoplado a haste há uma lâmina cilíndrica, fabricada em aço inox)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Biopsy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punch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4mm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(Haste plástica fabricada em poliestireno, com dimensões aproximadas de: 8,5cm de comprimento; multifacetada na sua metade superior; diâmetro proximal de 0,8 cm e distal de 0,4 cm. Acoplado a haste há uma lâmina cilíndrica, fabricada em aço inox)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proofErr w:type="gramEnd"/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Biopsy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punch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5mm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(Haste plástica fabricada em poliestireno, com dimensões aproximadas de: 8,5cm de comprimento; multifacetada na sua metade superior; diâmetro proximal de 0,8 cm e distal de 0,4 cm. Acoplado a haste há uma lâmina cilíndrica, fabricada em aço inox)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Campo cirúrgico fenestrado, 40 x 40 cm, descartável, estéril com diâmetro de aproximadamente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10cm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branco com gramatura de 40g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Cateter intravenoso, poliuretano,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vialon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18G, periférico,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câmara refluxo, tampa protetora, descartável, estéril, radiopaco, agulha em aço inox,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bisel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curto,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trifacetado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padrão de cores universal.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5.000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Cateter intravenoso, poliuretano,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vialon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20G, periférico,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câmara refluxo, tampa protetora, descartável, estéril, radiopaco, agulha em aço inox,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bisel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curto,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trifacetado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padrão de cores universal.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Cateter intravenoso, poliuretano,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vialon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22G, periférico,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câmara refluxo, tampa protetora, descartável, estéril, radiopaco, agulha em aço inox,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bisel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curto,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trifacetado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padrão de cores universal.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8.000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Cateter intravenoso, poliuretano,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vialon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24G, periférico,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câmara refluxo, tampa protetora, descartável, estéril, radiopaco, agulha em aço inox,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bisel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curto,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trifacetado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padrão de cores universal.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8.000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Cateter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oxigenoterapia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polipropileno maleável, óculos com anel de ajuste,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oxigenoterapia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descartável, estéril,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adulto</w:t>
            </w:r>
            <w:proofErr w:type="gramEnd"/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Cateter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oxigenoterapia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polipropileno maleável, óculos com anel de ajuste,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oxigenoterapia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descartável, estéril,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infantil</w:t>
            </w:r>
            <w:proofErr w:type="gramEnd"/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Coletor de urina sistema fechado, tipo bolsa, capacidade 2000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PVC atóxico, válvula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antirrefluxo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tubo extensor em PVC atóxico transparente com, no mínimo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110cm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de comprimento, flexível,  suporte de fixação com haste rígida, tipo cabide, escala de volume impressa e alça com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clamp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corta fluxo,  conector de entrada e saída da drenagem, ponto de coleta de amostra com membrana de látex auto cicatrizante.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Dipositivo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de infusão intravenosa, tubo PVC cristal flexível, asas leves, flexíveis, conector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luer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cônico rígido, n. 21, cânula inox, silicone,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atraumático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Dipositivo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de infusão intravenosa, tubo PVC cristal flexível, asas leves, flexíveis, conector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luer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cônico rígido, n. 23, cânula inox, silicone,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atraumático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Dipositivo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de infusão intravenosa, tubo PVC cristal flexível, asas leves, flexíveis, conector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luer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cônico rígido, n. 25, cânula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inox,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silicone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atraumático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Dispositivo para incontinência urinária masculina com preservativo em látex acoplado a tubo extensor em PVC, descartável, atóxico,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apirogênico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estéril Nº4.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Dispositivo para incontinência urinária masculina com preservativo em látex acoplado a tubo extensor em PVC, descartável, atóxico,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apirogênico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estéril Nº5.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Dreno cirúrgico, de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Penrose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látex atóxico, com pó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bioabsorvível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sem gaze, n. 1, descartável, estéril.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Dreno cirúrgico, de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Penrose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látex atóxico, com pó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bioabsorvível,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sem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gaze, n. 2, descartável, estéril.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Eletrodo universal, descartável, com gel sólido, espuma com adesivo aderente hipoalérgico e condutivo, pino de aço inoxidável,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contrapino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de cloreto de prata, para monitorização cardíaca.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50.000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Equipo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macrogotas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para infusão de soluções parenterais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estéries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em polietileno,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flexivel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com tubo medindo entre 120 a 150 cm, incolor, descartável,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apirogênico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estéril, com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ponta vazadora e injetor lateral em y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pinça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clamp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câmara gotejadora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macrogotas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com </w:t>
            </w: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respiro, embalado individualmente.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lastRenderedPageBreak/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Fio sutura, nylon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monofilamento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3-0, preto, 45 cm, com agulha, 3/8 círculo cortante, 2,0 cm,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estéril</w:t>
            </w:r>
            <w:proofErr w:type="gramEnd"/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Indicador químico para esterilização - Tira de papel de 1,5cm de largura por 20 cm de comprimento, indicadora química interna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multiparamétrica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para controle de pacotes esterilizados a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vapor</w:t>
            </w:r>
            <w:proofErr w:type="gramEnd"/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Tira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Lâmina bisturi, aço carbono, n. 11, descartável, estéril, embalada individualmente.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70.000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Lâmina bisturi, aço carbono, n. 15, descartável, estéril, embalada individualmente.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50.000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Lâmina bisturi, aço carbono, n. 20, descartável, estéril, embalada individualmente.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40.000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Papel para eletrocardiógrafo - ECG, tipo bobina ótima sensibilidade, impressão térmica com ótima fixação. Registro por cabeça térmica, sem contato com o papel, podendo ser feito também com estilete. Medindo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58mm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x 30m.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Rolo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2.000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Sapatilha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cirúrgica (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propé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), não tecido, 40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g/m², único, descartável, com elástico.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40.000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Seringa descartável 60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com bico longo.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Sonda, látex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Foley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n. 12, 2 vias, com balão de 30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superfície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lisa,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orifícios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laterais largos/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arred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., válvula borracha p/todas os tamanhos seringa, funil drenagem c/conexão padrão a coletores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5.000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Sonda, látex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Foley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n. 14, 2 vias, com balão de 30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superfície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lisa,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orifícios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laterais largos/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arred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., válvula borracha p/todas os tamanhos seringa, funil drenagem c/conexão padrão a coletores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Sonda, látex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Foley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n. 16, 2 vias, com balão de 30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superfície lisa, orifícios laterais largos/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arred</w:t>
            </w:r>
            <w:proofErr w:type="spellEnd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.,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válvula borracha p/todas os tamanhos seringa, funil drenagem c/conexão padrão a coletores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Sonda, látex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siliconizado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Foley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n. 18, 2 vias, com balão de 30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superfície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lisa,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orifícios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laterais largos/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arred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., válvula borracha p/todas os tamanhos seringa, funil drenagem c/conexão padrão a coletores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5,5mm, marcador distância em cm e de cordas vocais, oral com balão, marcador radiopaco, diâmetro interno uniforme c/olho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6,0mm, </w:t>
            </w: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marcador distância em cm e de cordas vocais, oral com balão, marcador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radiopaco,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diâmetro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interno uniforme c/olho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lastRenderedPageBreak/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6,5mm, marcador distância em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cme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de cordas vocais, oral com balão, marcador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radiopaco,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diâmetro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interno uniforme c/olho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7,0mm, marcador distância em cm e de cordas vocais, oral com balão, marcador radiopaco, diâmetro interno uniforme c/olho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7,5mm, marcador distância em cm e de cordas vocais, oral com balão, marcador radiopaco, diâmetro interno uniforme c/olho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8,0mm, marcador distância em cm e de cordas vocais, oral com balão, marcador radiopaco, diâmetro interno uniforme c/olho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8,5mm, marcador distância em cm e de cordas vocais, oral com balão, marcador radiopaco, diâmetro interno uniforme c/olho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Tubo endotraqueal,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polivinil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9,0mm, marcador distância em cm e de cordas vocais, oral com balão, marcador radiopaco, diâmetro interno uniforme c/olho </w:t>
            </w:r>
            <w:proofErr w:type="spellStart"/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murphy</w:t>
            </w:r>
            <w:proofErr w:type="spellEnd"/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, descartável, estéril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1.200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Anuscópio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proctológico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, fechado, tamanho único, contendo corpo transparente, êmbolo e ponteira do êmbolo com dimensões aproximadas do corpo: diâmetro proximal: 3,5 cm; diâmetro distal: 1,8 cm; comprimento do corpo: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cm;  e dimensões aproximadas do êmbolo: 14 cm, descartável, embalado individualmente em saco plástico.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10.000</w:t>
            </w:r>
          </w:p>
        </w:tc>
      </w:tr>
      <w:tr w:rsidR="00D7553F" w:rsidRPr="00962A91" w:rsidTr="00D7553F">
        <w:tc>
          <w:tcPr>
            <w:tcW w:w="857" w:type="dxa"/>
          </w:tcPr>
          <w:p w:rsidR="00D7553F" w:rsidRPr="00962A91" w:rsidRDefault="00D7553F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744" w:type="dxa"/>
            <w:vAlign w:val="center"/>
          </w:tcPr>
          <w:p w:rsidR="00D7553F" w:rsidRPr="00D7553F" w:rsidRDefault="00D75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Biopsy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punch</w:t>
            </w:r>
            <w:proofErr w:type="spell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>3mm</w:t>
            </w:r>
            <w:proofErr w:type="gramEnd"/>
            <w:r w:rsidRPr="00D7553F">
              <w:rPr>
                <w:rFonts w:ascii="Times New Roman" w:hAnsi="Times New Roman" w:cs="Times New Roman"/>
                <w:color w:val="000000"/>
                <w:sz w:val="24"/>
              </w:rPr>
              <w:t xml:space="preserve"> (Haste plástica fabricada em poliestireno,  com dimensões aproximadas de: 8,5cm de comprimento; multifacetada na sua metade superior; diâmetro proximal de 0,8 cm e distal de 0,4 cm. Acoplado a haste há uma lâmina cilíndrica, fabricada em aço inox)</w:t>
            </w:r>
          </w:p>
        </w:tc>
        <w:tc>
          <w:tcPr>
            <w:tcW w:w="1248" w:type="dxa"/>
          </w:tcPr>
          <w:p w:rsidR="00D7553F" w:rsidRPr="00D7553F" w:rsidRDefault="00D7553F" w:rsidP="001176F0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Unidade</w:t>
            </w:r>
          </w:p>
        </w:tc>
        <w:tc>
          <w:tcPr>
            <w:tcW w:w="1764" w:type="dxa"/>
          </w:tcPr>
          <w:p w:rsidR="00D7553F" w:rsidRPr="00D7553F" w:rsidRDefault="00D7553F" w:rsidP="00A432B7">
            <w:pPr>
              <w:rPr>
                <w:rFonts w:ascii="Times New Roman" w:hAnsi="Times New Roman" w:cs="Times New Roman"/>
                <w:sz w:val="24"/>
              </w:rPr>
            </w:pPr>
            <w:r w:rsidRPr="00D7553F">
              <w:rPr>
                <w:rFonts w:ascii="Times New Roman" w:hAnsi="Times New Roman" w:cs="Times New Roman"/>
                <w:sz w:val="24"/>
              </w:rPr>
              <w:t>3.000</w:t>
            </w:r>
          </w:p>
        </w:tc>
      </w:tr>
    </w:tbl>
    <w:p w:rsidR="00DD352B" w:rsidRDefault="00DD352B" w:rsidP="00640BF5"/>
    <w:p w:rsidR="00DD352B" w:rsidRPr="00640BF5" w:rsidRDefault="00DD352B" w:rsidP="00640BF5"/>
    <w:sectPr w:rsidR="00DD352B" w:rsidRPr="00640B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05B2B"/>
    <w:multiLevelType w:val="multilevel"/>
    <w:tmpl w:val="00000004"/>
    <w:styleLink w:val="Estilo2"/>
    <w:lvl w:ilvl="0">
      <w:start w:val="1"/>
      <w:numFmt w:val="decimal"/>
      <w:lvlText w:val="%1"/>
      <w:lvlJc w:val="left"/>
      <w:pPr>
        <w:tabs>
          <w:tab w:val="num" w:pos="0"/>
        </w:tabs>
        <w:ind w:left="390" w:hanging="390"/>
      </w:pPr>
      <w:rPr>
        <w:b/>
        <w:bCs/>
        <w:kern w:val="2"/>
        <w:sz w:val="22"/>
        <w:szCs w:val="22"/>
        <w:lang w:val="pt-BR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90" w:hanging="390"/>
      </w:pPr>
      <w:rPr>
        <w:rFonts w:ascii="Times New Roman" w:eastAsia="Calibri" w:hAnsi="Times New Roman" w:cs="Times New Roman"/>
        <w:b/>
        <w:bCs/>
        <w:color w:val="000000"/>
        <w:kern w:val="2"/>
        <w:sz w:val="21"/>
        <w:szCs w:val="21"/>
        <w:highlight w:val="white"/>
        <w:shd w:val="clear" w:color="auto" w:fill="FFFFFF"/>
        <w:lang w:val="pt-BR" w:eastAsia="pt-BR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20" w:hanging="720"/>
      </w:pPr>
      <w:rPr>
        <w:kern w:val="2"/>
        <w:lang w:val="pt-BR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>
    <w:nsid w:val="6CED0F40"/>
    <w:multiLevelType w:val="multilevel"/>
    <w:tmpl w:val="C0F4CA9E"/>
    <w:styleLink w:val="Estilo1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F5"/>
    <w:rsid w:val="00306547"/>
    <w:rsid w:val="00604E77"/>
    <w:rsid w:val="0061373E"/>
    <w:rsid w:val="00640BF5"/>
    <w:rsid w:val="008E60B4"/>
    <w:rsid w:val="00962A91"/>
    <w:rsid w:val="00AC25D1"/>
    <w:rsid w:val="00AF400E"/>
    <w:rsid w:val="00B66B59"/>
    <w:rsid w:val="00D37C03"/>
    <w:rsid w:val="00D7553F"/>
    <w:rsid w:val="00DA2E47"/>
    <w:rsid w:val="00DD352B"/>
    <w:rsid w:val="00E348DC"/>
    <w:rsid w:val="00E4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uiPriority w:val="99"/>
    <w:rsid w:val="00AC25D1"/>
    <w:pPr>
      <w:numPr>
        <w:numId w:val="1"/>
      </w:numPr>
    </w:pPr>
  </w:style>
  <w:style w:type="numbering" w:customStyle="1" w:styleId="Estilo1">
    <w:name w:val="Estilo1"/>
    <w:uiPriority w:val="99"/>
    <w:rsid w:val="0061373E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640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uiPriority w:val="99"/>
    <w:rsid w:val="00AC25D1"/>
    <w:pPr>
      <w:numPr>
        <w:numId w:val="1"/>
      </w:numPr>
    </w:pPr>
  </w:style>
  <w:style w:type="numbering" w:customStyle="1" w:styleId="Estilo1">
    <w:name w:val="Estilo1"/>
    <w:uiPriority w:val="99"/>
    <w:rsid w:val="0061373E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640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5F9F-F51B-4099-B649-6FE70BE1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Zanny</cp:lastModifiedBy>
  <cp:revision>2</cp:revision>
  <cp:lastPrinted>2020-04-17T13:38:00Z</cp:lastPrinted>
  <dcterms:created xsi:type="dcterms:W3CDTF">2020-05-05T14:08:00Z</dcterms:created>
  <dcterms:modified xsi:type="dcterms:W3CDTF">2020-05-05T14:08:00Z</dcterms:modified>
</cp:coreProperties>
</file>