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4"/>
        </w:tabs>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TERMO DE REFERÊNCIA</w:t>
      </w:r>
    </w:p>
    <w:p w:rsidR="00000000" w:rsidDel="00000000" w:rsidP="00000000" w:rsidRDefault="00000000" w:rsidRPr="00000000" w14:paraId="00000002">
      <w:pPr>
        <w:pStyle w:val="Heading4"/>
        <w:keepLines w:val="0"/>
        <w:numPr>
          <w:ilvl w:val="0"/>
          <w:numId w:val="8"/>
        </w:numPr>
        <w:pBdr>
          <w:bottom w:color="000000" w:space="1" w:sz="4" w:val="single"/>
        </w:pBdr>
        <w:tabs>
          <w:tab w:val="left" w:pos="284"/>
        </w:tabs>
        <w:spacing w:before="0" w:lineRule="auto"/>
        <w:ind w:left="0" w:firstLine="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DO OBJETO</w:t>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Registro de Preços para futura e eventual aquisição de </w:t>
        <w:tab/>
      </w:r>
      <w:r w:rsidDel="00000000" w:rsidR="00000000" w:rsidRPr="00000000">
        <w:rPr>
          <w:rFonts w:ascii="Calibri" w:cs="Calibri" w:eastAsia="Calibri" w:hAnsi="Calibri"/>
          <w:b w:val="1"/>
          <w:sz w:val="22"/>
          <w:szCs w:val="22"/>
          <w:rtl w:val="0"/>
        </w:rPr>
        <w:t xml:space="preserve">Água Mineral, sem gás (Copos de 200ml e Garrafas de 500ml)</w:t>
      </w:r>
      <w:r w:rsidDel="00000000" w:rsidR="00000000" w:rsidRPr="00000000">
        <w:rPr>
          <w:rFonts w:ascii="Calibri" w:cs="Calibri" w:eastAsia="Calibri" w:hAnsi="Calibri"/>
          <w:sz w:val="22"/>
          <w:szCs w:val="22"/>
          <w:rtl w:val="0"/>
        </w:rPr>
        <w:t xml:space="preserve"> para atendimento aos diversos Órgãos e Entidades da Administração Pública do Município de Maceió, nas especificações e quantidades constantes no Anexo I deste Termo de Referência.</w:t>
      </w:r>
    </w:p>
    <w:p w:rsidR="00000000" w:rsidDel="00000000" w:rsidP="00000000" w:rsidRDefault="00000000" w:rsidRPr="00000000" w14:paraId="00000004">
      <w:pPr>
        <w:pStyle w:val="Heading4"/>
        <w:keepLines w:val="0"/>
        <w:numPr>
          <w:ilvl w:val="0"/>
          <w:numId w:val="8"/>
        </w:numPr>
        <w:pBdr>
          <w:bottom w:color="000000" w:space="1" w:sz="4" w:val="single"/>
        </w:pBdr>
        <w:tabs>
          <w:tab w:val="left" w:pos="284"/>
        </w:tabs>
        <w:spacing w:before="0" w:lineRule="auto"/>
        <w:ind w:left="0" w:firstLine="0"/>
        <w:rPr>
          <w:rFonts w:ascii="Calibri" w:cs="Calibri" w:eastAsia="Calibri" w:hAnsi="Calibri"/>
          <w:i w:val="0"/>
          <w:color w:val="000000"/>
          <w:sz w:val="22"/>
          <w:szCs w:val="22"/>
        </w:rPr>
      </w:pPr>
      <w:r w:rsidDel="00000000" w:rsidR="00000000" w:rsidRPr="00000000">
        <w:rPr>
          <w:rFonts w:ascii="Calibri" w:cs="Calibri" w:eastAsia="Calibri" w:hAnsi="Calibri"/>
          <w:i w:val="0"/>
          <w:color w:val="000000"/>
          <w:sz w:val="22"/>
          <w:szCs w:val="22"/>
          <w:rtl w:val="0"/>
        </w:rPr>
        <w:t xml:space="preserve">JUSTIFICATIVA </w:t>
      </w:r>
    </w:p>
    <w:p w:rsidR="00000000" w:rsidDel="00000000" w:rsidP="00000000" w:rsidRDefault="00000000" w:rsidRPr="00000000" w14:paraId="00000005">
      <w:pPr>
        <w:numPr>
          <w:ilvl w:val="1"/>
          <w:numId w:val="10"/>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6.592/2016.</w:t>
      </w:r>
    </w:p>
    <w:p w:rsidR="00000000" w:rsidDel="00000000" w:rsidP="00000000" w:rsidRDefault="00000000" w:rsidRPr="00000000" w14:paraId="00000006">
      <w:pPr>
        <w:numPr>
          <w:ilvl w:val="1"/>
          <w:numId w:val="10"/>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âmbito da ARSER está a competência de planejamento, coordenação e controle de procedimentos de compras centralizadas de serviços e materiais de uso comum para atendimento às demandas de todos os órgãos da Administração Pública Municipal.</w:t>
      </w:r>
    </w:p>
    <w:p w:rsidR="00000000" w:rsidDel="00000000" w:rsidP="00000000" w:rsidRDefault="00000000" w:rsidRPr="00000000" w14:paraId="00000007">
      <w:pPr>
        <w:numPr>
          <w:ilvl w:val="1"/>
          <w:numId w:val="10"/>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000000" w:rsidDel="00000000" w:rsidP="00000000" w:rsidRDefault="00000000" w:rsidRPr="00000000" w14:paraId="00000008">
      <w:pPr>
        <w:numPr>
          <w:ilvl w:val="1"/>
          <w:numId w:val="10"/>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contratação centralizada proporciona uma melhoria nos procedimentos técnicos e administrativos, além da redução do número de processos licitatórios, auferindo a administração redução de custos operacionais e eficiência gerencial.</w:t>
      </w:r>
    </w:p>
    <w:p w:rsidR="00000000" w:rsidDel="00000000" w:rsidP="00000000" w:rsidRDefault="00000000" w:rsidRPr="00000000" w14:paraId="00000009">
      <w:pPr>
        <w:numPr>
          <w:ilvl w:val="1"/>
          <w:numId w:val="10"/>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000000" w:rsidDel="00000000" w:rsidP="00000000" w:rsidRDefault="00000000" w:rsidRPr="00000000" w14:paraId="0000000A">
      <w:pPr>
        <w:numPr>
          <w:ilvl w:val="1"/>
          <w:numId w:val="10"/>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unificação e centralização do procedimento de aquisição de materiais e serviços proporcionam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000000" w:rsidDel="00000000" w:rsidP="00000000" w:rsidRDefault="00000000" w:rsidRPr="00000000" w14:paraId="0000000B">
      <w:pPr>
        <w:numPr>
          <w:ilvl w:val="1"/>
          <w:numId w:val="10"/>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Administração Pública Municipal ao lançar uma licitação centralizada sinaliza fortemente ao mercado fornecedor de que existe planejamento em suas aquisições e que se busca as melhores negociações.</w:t>
      </w:r>
    </w:p>
    <w:p w:rsidR="00000000" w:rsidDel="00000000" w:rsidP="00000000" w:rsidRDefault="00000000" w:rsidRPr="00000000" w14:paraId="0000000C">
      <w:pPr>
        <w:numPr>
          <w:ilvl w:val="1"/>
          <w:numId w:val="10"/>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legislação vigente que regula as aquisições no setor público alberga instrumentos que podem ser utilizados e possibilitam maior eficiência nas aquisições e melhoria na gestão, tais quais a adoção de Sistema de Registro de Preços – SRP.</w:t>
      </w:r>
    </w:p>
    <w:p w:rsidR="00000000" w:rsidDel="00000000" w:rsidP="00000000" w:rsidRDefault="00000000" w:rsidRPr="00000000" w14:paraId="0000000D">
      <w:pPr>
        <w:numPr>
          <w:ilvl w:val="1"/>
          <w:numId w:val="10"/>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Dentre as vantagens do Sistema de Registro de Preços, definido no Decreto Municipal nº 7.496 de 11 de abril de 2013, destaca-se:</w:t>
      </w:r>
    </w:p>
    <w:p w:rsidR="00000000" w:rsidDel="00000000" w:rsidP="00000000" w:rsidRDefault="00000000" w:rsidRPr="00000000" w14:paraId="0000000E">
      <w:pPr>
        <w:numPr>
          <w:ilvl w:val="0"/>
          <w:numId w:val="9"/>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A vigência da Ata de Registro de Preços é de 12 (doze) meses;</w:t>
      </w:r>
    </w:p>
    <w:p w:rsidR="00000000" w:rsidDel="00000000" w:rsidP="00000000" w:rsidRDefault="00000000" w:rsidRPr="00000000" w14:paraId="0000000F">
      <w:pPr>
        <w:numPr>
          <w:ilvl w:val="0"/>
          <w:numId w:val="9"/>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É dispensável a dotação orçamentária para iniciar a licitação;</w:t>
      </w:r>
    </w:p>
    <w:p w:rsidR="00000000" w:rsidDel="00000000" w:rsidP="00000000" w:rsidRDefault="00000000" w:rsidRPr="00000000" w14:paraId="00000010">
      <w:pPr>
        <w:numPr>
          <w:ilvl w:val="0"/>
          <w:numId w:val="9"/>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Possibilidade de atendimento aos variados tipos de demandas;</w:t>
      </w:r>
    </w:p>
    <w:p w:rsidR="00000000" w:rsidDel="00000000" w:rsidP="00000000" w:rsidRDefault="00000000" w:rsidRPr="00000000" w14:paraId="00000011">
      <w:pPr>
        <w:numPr>
          <w:ilvl w:val="0"/>
          <w:numId w:val="9"/>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dos custos operacionais e de estoque;</w:t>
      </w:r>
    </w:p>
    <w:p w:rsidR="00000000" w:rsidDel="00000000" w:rsidP="00000000" w:rsidRDefault="00000000" w:rsidRPr="00000000" w14:paraId="00000012">
      <w:pPr>
        <w:numPr>
          <w:ilvl w:val="0"/>
          <w:numId w:val="9"/>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 número de licitações durante o exercício financeiro;</w:t>
      </w:r>
    </w:p>
    <w:p w:rsidR="00000000" w:rsidDel="00000000" w:rsidP="00000000" w:rsidRDefault="00000000" w:rsidRPr="00000000" w14:paraId="00000013">
      <w:pPr>
        <w:numPr>
          <w:ilvl w:val="0"/>
          <w:numId w:val="9"/>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Aumento da eficiência administrativa;</w:t>
      </w:r>
    </w:p>
    <w:p w:rsidR="00000000" w:rsidDel="00000000" w:rsidP="00000000" w:rsidRDefault="00000000" w:rsidRPr="00000000" w14:paraId="00000014">
      <w:pPr>
        <w:numPr>
          <w:ilvl w:val="0"/>
          <w:numId w:val="9"/>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Agilidade e otimização nas contratações públicas</w:t>
      </w:r>
    </w:p>
    <w:p w:rsidR="00000000" w:rsidDel="00000000" w:rsidP="00000000" w:rsidRDefault="00000000" w:rsidRPr="00000000" w14:paraId="00000015">
      <w:pPr>
        <w:numPr>
          <w:ilvl w:val="0"/>
          <w:numId w:val="9"/>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Possibilidade de estimar quantitativos quando não é possível definir previamente a quantidade exata do objeto a ser adquirido.</w:t>
      </w:r>
    </w:p>
    <w:p w:rsidR="00000000" w:rsidDel="00000000" w:rsidP="00000000" w:rsidRDefault="00000000" w:rsidRPr="00000000" w14:paraId="00000016">
      <w:pPr>
        <w:numPr>
          <w:ilvl w:val="1"/>
          <w:numId w:val="10"/>
        </w:numPr>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Nesse sentido, visando atender a demanda interna dos Órgãos e Entidades deste Município, a partir da necessidade relativa à aquisição de Água Mineral, sem gás (copo e garrafa) para atendimento a todos os Órgãos da Administração Pública do Município de Maceió.</w:t>
      </w:r>
    </w:p>
    <w:p w:rsidR="00000000" w:rsidDel="00000000" w:rsidP="00000000" w:rsidRDefault="00000000" w:rsidRPr="00000000" w14:paraId="00000017">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426"/>
          <w:tab w:val="left" w:pos="567"/>
        </w:tabs>
        <w:spacing w:after="0" w:before="24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Justifica-se o fornecimento de água mineral para atender as necessidades dos diversos Órgãos que realizem atividades fora de suas repartições, campanhas nas mais diversas áreas de atuação dos órgãos e entidades municipais, ações em conjunto com outros órgãos, onde se tornará imprescindível o deslocamento de serviços e prestadores para laborar em diversas localidades desta Capital. Ou seja, atividades que necessitarem pela natureza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sui generis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ofício, de Água Mineral, sem gás (Copos de 200ml e Garrafas de 500ml). </w:t>
      </w:r>
    </w:p>
    <w:p w:rsidR="00000000" w:rsidDel="00000000" w:rsidP="00000000" w:rsidRDefault="00000000" w:rsidRPr="00000000" w14:paraId="00000018">
      <w:pPr>
        <w:numPr>
          <w:ilvl w:val="1"/>
          <w:numId w:val="10"/>
        </w:numPr>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fim, a contratação pretendida atenderá apenas a excepcionalidade das demandas dos órgãos e entidades municipais, e tem por finalidade assegurar o fornecimento e acesso contínuo à água mineral apropriada para consumo para os servidores que prestarem os seus serviços em atividades externas.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ESPECIFICAÇÕES</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especificações, quantidades estimadas, bem como todas as informações complementares para a perfeita e regular aquisição do objeto deste Termo de Referência estão descritas no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ANEXO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MODALIDADE DA LICITAÇÃO E CRITÉRIO DE JULGAMENTO</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aquisição dar-se-á pela modalidade licitatória denominada pregão, em sua forma eletrônica, tendo como critério de julgamento e classificação das propostas, o menor preço por item, observadas as especificações técnicas definidas no Anexo I deste Termo de Referência.</w:t>
      </w:r>
    </w:p>
    <w:p w:rsidR="00000000" w:rsidDel="00000000" w:rsidP="00000000" w:rsidRDefault="00000000" w:rsidRPr="00000000" w14:paraId="0000001E">
      <w:pPr>
        <w:numPr>
          <w:ilvl w:val="1"/>
          <w:numId w:val="2"/>
        </w:numPr>
        <w:spacing w:after="0" w:afterAutospacing="0" w:before="0" w:beforeAutospacing="0" w:line="276" w:lineRule="auto"/>
        <w:ind w:left="360"/>
        <w:rPr>
          <w:rFonts w:ascii="Arial" w:cs="Arial" w:eastAsia="Arial" w:hAnsi="Arial"/>
          <w:sz w:val="22"/>
          <w:szCs w:val="22"/>
        </w:rPr>
      </w:pPr>
      <w:r w:rsidDel="00000000" w:rsidR="00000000" w:rsidRPr="00000000">
        <w:rPr>
          <w:rFonts w:ascii="Calibri" w:cs="Calibri" w:eastAsia="Calibri" w:hAnsi="Calibri"/>
          <w:sz w:val="22"/>
          <w:szCs w:val="22"/>
          <w:rtl w:val="0"/>
        </w:rPr>
        <w:t xml:space="preserve">O pregão eletrônico ocorrerá sob o </w:t>
      </w:r>
      <w:r w:rsidDel="00000000" w:rsidR="00000000" w:rsidRPr="00000000">
        <w:rPr>
          <w:rFonts w:ascii="Calibri" w:cs="Calibri" w:eastAsia="Calibri" w:hAnsi="Calibri"/>
          <w:sz w:val="22"/>
          <w:szCs w:val="22"/>
          <w:u w:val="single"/>
          <w:rtl w:val="0"/>
        </w:rPr>
        <w:t xml:space="preserve">modo de disputa Aberto e Fechado</w:t>
      </w:r>
      <w:r w:rsidDel="00000000" w:rsidR="00000000" w:rsidRPr="00000000">
        <w:rPr>
          <w:rFonts w:ascii="Calibri" w:cs="Calibri" w:eastAsia="Calibri" w:hAnsi="Calibri"/>
          <w:sz w:val="22"/>
          <w:szCs w:val="22"/>
          <w:rtl w:val="0"/>
        </w:rPr>
        <w:t xml:space="preserve">, onde os licitantes apresentarão lances públicos e sucessivos, com lance final e fechado.</w:t>
      </w:r>
    </w:p>
    <w:p w:rsidR="00000000" w:rsidDel="00000000" w:rsidP="00000000" w:rsidRDefault="00000000" w:rsidRPr="00000000" w14:paraId="0000001F">
      <w:pPr>
        <w:numPr>
          <w:ilvl w:val="2"/>
          <w:numId w:val="2"/>
        </w:numPr>
        <w:spacing w:after="0" w:afterAutospacing="0" w:before="0" w:beforeAutospacing="0" w:line="276" w:lineRule="auto"/>
        <w:ind w:left="862" w:hanging="720"/>
        <w:rPr>
          <w:rFonts w:ascii="Arial" w:cs="Arial" w:eastAsia="Arial" w:hAnsi="Arial"/>
          <w:sz w:val="22"/>
          <w:szCs w:val="22"/>
        </w:rPr>
      </w:pPr>
      <w:r w:rsidDel="00000000" w:rsidR="00000000" w:rsidRPr="00000000">
        <w:rPr>
          <w:rFonts w:ascii="Calibri" w:cs="Calibri" w:eastAsia="Calibri" w:hAnsi="Calibri"/>
          <w:sz w:val="22"/>
          <w:szCs w:val="22"/>
          <w:rtl w:val="0"/>
        </w:rPr>
        <w:t xml:space="preserve">Tendo em vista o Poder discricionário da Administração Pública, bem como o disposto no art. 14 do Decreto 10.024/2019, fora definido este modo de disputa vislumbrando atender ao princípio da vantajosidade, uma vez que este modo proporciona a escolha da proposta mais vantajosa à Administração Pública. </w:t>
      </w:r>
    </w:p>
    <w:p w:rsidR="00000000" w:rsidDel="00000000" w:rsidP="00000000" w:rsidRDefault="00000000" w:rsidRPr="00000000" w14:paraId="00000020">
      <w:pPr>
        <w:numPr>
          <w:ilvl w:val="1"/>
          <w:numId w:val="2"/>
        </w:numPr>
        <w:spacing w:after="0" w:afterAutospacing="0" w:before="0" w:beforeAutospacing="0" w:line="276" w:lineRule="auto"/>
        <w:ind w:left="360"/>
        <w:rPr>
          <w:rFonts w:ascii="Arial" w:cs="Arial" w:eastAsia="Arial" w:hAnsi="Arial"/>
          <w:sz w:val="22"/>
          <w:szCs w:val="22"/>
        </w:rPr>
      </w:pPr>
      <w:r w:rsidDel="00000000" w:rsidR="00000000" w:rsidRPr="00000000">
        <w:rPr>
          <w:rFonts w:ascii="Calibri" w:cs="Calibri" w:eastAsia="Calibri" w:hAnsi="Calibri"/>
          <w:sz w:val="22"/>
          <w:szCs w:val="22"/>
          <w:rtl w:val="0"/>
        </w:rPr>
        <w:t xml:space="preserve">Pelo interesse da administração pública, os valores de referência não serão divulgados.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DOTAÇÃO ORÇAMENTÁRIA </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despesas decorrentes da contratação do objeto deste Termo de Referência correrão à conta dos recursos específicos consignados no Orçamento dos Órgãos e Entidades do Município de Maceió participantes da Ata de Registro de Preços.</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24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ou Entidade interessado.</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CONDIÇÕES DE FORNECIMENTO </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Sempre que julgar necessário o Órgão Contratante solicitará, durante a vigência da ARP, o fornecimento dos produtos registrados na quantidade necessária, mediante a elaboração do instrumento contratual.</w:t>
      </w:r>
    </w:p>
    <w:p w:rsidR="00000000" w:rsidDel="00000000" w:rsidP="00000000" w:rsidRDefault="00000000" w:rsidRPr="00000000" w14:paraId="00000026">
      <w:pPr>
        <w:numPr>
          <w:ilvl w:val="1"/>
          <w:numId w:val="2"/>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Contratante não estará obrigada a adquirir os serviços registrados, contudo, ao fazê-lo,  cada participante solicitará individualmente um percentual mínimo de 1% (um por cento) do quantitativo que se encontra registrado para cada órgão.</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Contratada deverá fornecer os produtos em até 15 (quinze) dias úteis de acordo com a solicitação da Contratante, a partir do recebimento Nota de Empenho/Ordem de Fornecimento, , que deverão conter data de expedição, quantidade pretendida, local para entrega, preços unitário e total, carimbo e assinatura do respo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nsável pela requisição.</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Após a comunicação ao fornecedor para retirada da ordem de fornecimento o mesmo terá que retirá-la no prazo de 03 (três) dias úteis. Não retirando a ordem dentro do prazo, será começado o prazo para entrega, vez que o fornecedor não poderá utilizar do artifício de não ter recebido este documento para ter um prazo aumentado para entrega.</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deverão ser entregues ao servidor responsável pelo Setor responsável pelo recebimento de cada Órgão ou Entidade do Município de Maceió, acompanhados da documentação fiscal, juntamente com cópia da Nota de Empenho/Ordem de Fornecimento, no horário das 08h00 às 14h00 de segunda-feira a sexta-feira. </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cada entrega serão conferidos todos os produtos, verificando-se especialmente as datas de envasamento registradas na embalagem primária e a inviolabilidade dos lacres dos vasilhames, bem como o empilhamento e as demais exigências da legislação sanitária.</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qualquer tempo e a critério da CONTRATANTE, os produtos recebidos poderão ser submetidos a análise para controle de qualidade por laboratório oficial especializado, que emitirá laudo de análise atestando as condições do produto, correndo as despesas relativas à análise às expensas da CONTRATADA.</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o produto, em uma ou mais embalagens, apresente problemas de qualidade, detectados pelas análises laboratoriais, a CONTRATADA deverá efetuar a substituição dos lotes, no prazo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 (vinte e quatro) horas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contado da notificação, independentemente da aplicação das sanções previstas no instrumento Contratual.</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o produto apresente problemas de qualidade em mais de um laudo de análise, o instrumento Contratual poderá ser rescindido unilateralmente, sendo nesse caso expedida comunicação oficial aos órgãos de Vigilância Sanitária do Ministério da Saúde.</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deverão ser acondicionados conforme praxe do fabricante devendo garantir proteção durante transporte e estocagem, constando a identificação do produto e demais informações exigidas na legislação em vigor.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 w:val="left" w:pos="567"/>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RECEBIMENTO DO OBJETO</w:t>
      </w:r>
    </w:p>
    <w:p w:rsidR="00000000" w:rsidDel="00000000" w:rsidP="00000000" w:rsidRDefault="00000000" w:rsidRPr="00000000" w14:paraId="00000031">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objeto(s) serão recebidos pelo servidor responsável no ato da entrega;</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Provisoriamente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ato da entrega, para efeito de posterior verificação da conformidade dos mesmos com as especificações requeridas neste documento;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Definitivamente,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após a verificação da qualidade e quantidade do material e consequente aceitação, no prazo de até 05 (cinco) dia úteis. Só então será atestada a nota fiscal. </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Serão recusados os materiais que apresentarem defeitos ou cujas especificações não atendam às descrições do objeto contratado. </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ato de recebimento dos produtos, não importa em sua aceitação. A critério da Contratante, os produtos fornecidos serão submetidos à verificação. Cabe a Contratada a substituição dos produtos que vierem a ser recusados, no prazo máximo de 05 (cinco) dias úteis, contados da solicitação.</w:t>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deverão atender aos dispositivos da Lei nº 8.078/90 (Código de Defesa do Consumidor) e às demais legislação pertinentes.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 w:val="left" w:pos="567"/>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HABILITAÇÃO </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licitantes deverão apresentar no mínimo um atestado, emitido por pessoa jurídica de direito público ou privado devidamente assinado em papel timbrado e carimbado, que comprove que a licitante forneceu Água Mineral, sem gás (Copos de 200ml e Garrafas de 500ml de maneira satisfatória e a concreto.</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Calibri" w:cs="Calibri" w:eastAsia="Calibri" w:hAnsi="Calibri"/>
          <w:b w:val="1"/>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OBRIGAÇÕES</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Contratada</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Assinar a ARP em até 05 (cinco) dias contados da convocação para sua formalização pela Contratante.</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Atender a todos os pedidos efetuados durante a vigência da Ata no limite do quantitativo registrado;</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o objeto deste Termo de Referência nos endereços constante no anexo II deste documento, dentro do prazo estabelecido no item 6, mediante apresentação da Nota Fiscal devidamente preenchida, constando detalhadamente as informações necessárias, conforme proposta da empresa vencedora;</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a entrega do objeto em perfeitas condições de uso, em estrita observância às especificações deste Termo de Referência;</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Administração, no prazo de 24 (vinte e quatro) horas que antecede a data da entrega, os motivos que impossibilitem o cumprimento do prazo previsto, com a devida comprovação;</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Assumir a responsabilidade pelos encargos trabalhistas, fiscais, previdenciários e comerciais resultantes da contratação;</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o objeto da contratação nas condições pactuadas neste documento;</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Providenciar a correção das deficiências, falhas ou irregularidades constatadas pela Contratante na entrega do objeto;</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Responder por danos causados diretamente à Contratante ou a terceiros, decorrentes de sua culpa ou dolo, quando da execução da contratação;</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Acatar as orientações da Contratante, sujeitando-se a mais ampla e irrestrita fiscalização, prestando esclarecimentos solicitados e atendendo às reclamações formuladas;</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Manter todas as condições de habilitação aferidas no processo de contratação durante a vigência da contratação;</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as demais disposições contidas neste Termo de Referência.</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Contratante:</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Convocar a adjudicatária, dentro do prazo de eficácia de sua proposta, para assinatura da Ata;</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Publicar o extrato da Ata na forma da Lei;</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Emitir Nota de Empenho e/ou Ordem de Fornecimento;</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Exigir o cumprimento de todas as obrigações assumidas pela empresa vencedora, de acordo como os termos deste documento;</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Reservar local apropriado para o recebimento do objeto deste documento;</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 pessoal disponível para o recebimento do objeto no horário previsto neste documento;</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Receber o objeto de acordo com as especificações descritas neste documento;</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Permitir o livre acesso dos empregados da empresa nas dependências da Contratante para entrega do objeto deste Termo de Referência, desde que uniformizados e identificados com crachá;</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o pagamento nas condições e preço pactuado;</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por escrito, sobre imperfeições, falhas ou irregularidades verificadas no objeto fornecido, para que seja substituído, reparado ou corrigido, sem prejuízo das penalidades cabíveis;</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e fiscalizar a execução da contratação, por intermédio de representante especialmente designado;</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as demais disposições contidas neste Termo de Referência;</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Aplicar à Contratada as penalidades regulamentares contratuais.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color="000000" w:space="0"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PAGAMENTO</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Havendo erro na Fatura/Nota Fiscal/Recibo, ou outra circunstância que desaprove a liquidação, o pagamento será sustado, até que sejam tomadas as medidas saneadoras necessárias.</w:t>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pagamentos podem ser realizados com recursos próprios e/ou com recursos de convênios.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ATA DE REGISTRO DE PREÇOS</w:t>
      </w:r>
    </w:p>
    <w:p w:rsidR="00000000" w:rsidDel="00000000" w:rsidP="00000000" w:rsidRDefault="00000000" w:rsidRPr="00000000" w14:paraId="0000005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de validade da ARP será de 12 (doze) meses, contados a partir da sua assinatura, tendo sua eficácia a partir da data de publicação do seu extrato no Diário Oficial do Município. </w:t>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quantidades previstas para os itens com preços registrados poderão ser remanejadas pelo órgão gerenciador entre os órgãos participantes e não participantes do procedimento licitatório para registro de preços.</w:t>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remanejamento de que trata o item 11.2 somente poderá ser feito de órgão participante para órgão participante e de órgão participante para órgão não participante.</w:t>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caso de remanejamento de órgão participante para órgão não participante, devem ser observados os limites previstos nos § 3º do art. 22 do Decreto nº 7.492, de 11 de abril de 2013.</w:t>
      </w:r>
    </w:p>
    <w:p w:rsidR="00000000" w:rsidDel="00000000" w:rsidP="00000000" w:rsidRDefault="00000000" w:rsidRPr="00000000" w14:paraId="000000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gestão da ARP caberá à Agência Municipal de Regulação de Serviços Delegados – ARSER, situada na Rua Eng. Roberto Gonçalves Menezes, 71 - CEP: 57020-680, Telefone (82) 3315-7313/7314/7315.</w:t>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000000" w:rsidDel="00000000" w:rsidP="00000000" w:rsidRDefault="00000000" w:rsidRPr="00000000" w14:paraId="000000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Caberá ao Gerenciador da Ata realizar, periodicamente, pesquisa de mercado para comprovação da vantajosidade dos preços registrados.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CONTRATAÇÃO</w:t>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termo de contrato será substituído por Nota de Empenho e/ou por Ordem de Fornecimento.</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para a licitante vencedora assinar o respectivo instrumento contratual, aceitar ou retirar a nota de empenho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000000" w:rsidDel="00000000" w:rsidP="00000000" w:rsidRDefault="00000000" w:rsidRPr="00000000" w14:paraId="0000006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subsequentes e a qualificação das licitantes, na ordem de classificação, e assim sucessivamente, até a apuração de uma que atenda ao edital, sendo esta declarada vencedora.</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FISCALIZAÇÃO/ACOMPANHAMENTO</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contratação será acompanhada e fiscalizada por servidor a ser designado pelo Gestor da Pasta.</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fiscal da contratação terá, entre outras, as seguintes atribuições: </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Expedir ordens de fornecimento; </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Proceder ao acompanhamento do recebimento do objeto quanto à qualidade desejada; </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o descumprimento das obrigações assumidas e indicar os procedimentos necessários ao seu correto cumprimento; </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Solicitar à Administração a aplicação de penalidades por descumprimento de cláusula contratual; </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Fornecer atestados de capacidade técnica quando solicitado, desde que atendidas às obrigações contratuais; </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Atestar as notas fiscais relativas ao recebimento dos produtos para efeito de pagamentos; </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Recusar o objeto que for entregue fora das especificações contidas neste documento ou que forem entregues em quantidades divergentes daquelas constantes na ordem de serviços;</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Solicitar à Contratada e a seu preposto todas as providências necessárias ao bom e fiel cumprimento das obrigações.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REAJUSTE, DOS ACRÉSCIMOS OU SUPRESSÕES</w:t>
      </w:r>
    </w:p>
    <w:p w:rsidR="00000000" w:rsidDel="00000000" w:rsidP="00000000" w:rsidRDefault="00000000" w:rsidRPr="00000000" w14:paraId="0000007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Fica proibido o reajuste do valor durante a vigência da ata.</w:t>
      </w:r>
    </w:p>
    <w:p w:rsidR="00000000" w:rsidDel="00000000" w:rsidP="00000000" w:rsidRDefault="00000000" w:rsidRPr="00000000" w14:paraId="0000007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Pode ocorrer a revisão da ata, tencionando o reequilíbrio econômico financeiro, desde que haja incidência de fato imprevisível e devidamente justificado, conforme art. 37, XXI, DA CF/88, arts. 57, §§ 1º e 2º, 65, II, “d” e § 6º, todos da Lei n.8666/93 e arts. 17/19 do Decreto Municipal nº 7.496/2013.</w:t>
      </w:r>
    </w:p>
    <w:p w:rsidR="00000000" w:rsidDel="00000000" w:rsidP="00000000" w:rsidRDefault="00000000" w:rsidRPr="00000000" w14:paraId="000000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revisão deverá incidir a partir da data em que for protocolado, com fundamento no item anterior, o pedido da contratada.</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SANÇÕES</w:t>
      </w:r>
    </w:p>
    <w:p w:rsidR="00000000" w:rsidDel="00000000" w:rsidP="00000000" w:rsidRDefault="00000000" w:rsidRPr="00000000" w14:paraId="0000007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caso de inexecução parcial ou total das condições pactuadas, erro ou demora na execução do Contratação, garantida a prévia defesa, ficará a Contratada sujeita às sanções indicadas abaixo, sem prejuízo de outras previstas na legislação vigente:</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Advertência formal: falhas ou irregularidades que não acarretem prejuízos à Administração;</w:t>
      </w:r>
    </w:p>
    <w:p w:rsidR="00000000" w:rsidDel="00000000" w:rsidP="00000000" w:rsidRDefault="00000000" w:rsidRPr="00000000" w14:paraId="0000007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Pelo atraso na entrega do produto em relação ao prazo estipulado: 1% (um por cento) do valor do produto não entregue, por dia decorrido, até o limite de 10% (dez por cento);</w:t>
      </w:r>
    </w:p>
    <w:p w:rsidR="00000000" w:rsidDel="00000000" w:rsidP="00000000" w:rsidRDefault="00000000" w:rsidRPr="00000000" w14:paraId="0000008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recusa em efetuar o fornecimento e/ou pela não entrega do produto, caracterizada em dez dias após o vencimento do prazo de entrega estipulado: 10% (dez por cento) do valor do </w:t>
      </w:r>
      <w:r w:rsidDel="00000000" w:rsidR="00000000" w:rsidRPr="00000000">
        <w:rPr>
          <w:rFonts w:ascii="Calibri" w:cs="Calibri" w:eastAsia="Calibri" w:hAnsi="Calibri"/>
          <w:sz w:val="22"/>
          <w:szCs w:val="22"/>
          <w:rtl w:val="0"/>
        </w:rPr>
        <w:t xml:space="preserve">pedido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demora em substituir o produto rejeitado, a contar do primeiro dia após o vencimento do prazo estipulado para a substituição: 2% (dois por cento) do valor do produto recusado, por dia decorrido, até o limite de 10% (dez por cento);</w:t>
      </w:r>
    </w:p>
    <w:p w:rsidR="00000000" w:rsidDel="00000000" w:rsidP="00000000" w:rsidRDefault="00000000" w:rsidRPr="00000000" w14:paraId="0000008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Pelo não cumprimento de qualquer condição fixada neste Termo de Referência e não abrangida nas alíneas anteriores: 1% (um por cento) do valor contratado, para cada evento;</w:t>
      </w:r>
    </w:p>
    <w:p w:rsidR="00000000" w:rsidDel="00000000" w:rsidP="00000000" w:rsidRDefault="00000000" w:rsidRPr="00000000" w14:paraId="0000008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Suspensão temporária, pelo período de até 02 (dois) anos, de participação em licitação e contratação com o Município de Maceió;</w:t>
      </w:r>
    </w:p>
    <w:p w:rsidR="00000000" w:rsidDel="00000000" w:rsidP="00000000" w:rsidRDefault="00000000" w:rsidRPr="00000000" w14:paraId="0000008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inidoneidade, que o impede de participar de licitações, bem como de contratar com a Administração Pública pelo prazo de até cinco anos. </w:t>
      </w:r>
    </w:p>
    <w:p w:rsidR="00000000" w:rsidDel="00000000" w:rsidP="00000000" w:rsidRDefault="00000000" w:rsidRPr="00000000" w14:paraId="00000085">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8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ocorrência de falhas ou irregularidades diferentes daquelas indicadas no item anterior, a Administração poderá aplicar à futura Contratada quaisquer das sanções listadas no item 16.1, consideradas a natureza e a gravidade da infração cometida e sem prejuízo da responsabilidade civil e criminal que seus atos ensejarem.</w:t>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critério da Contratante e nos termos do art. 87, § 2º, da Lei nº 8.666/93, as sanções previstas nas alíneas “f” e “g” poderão ser aplicadas cumulativamente com quaisquer das multas previstas nas alíneas “b” a “e”.</w:t>
      </w:r>
    </w:p>
    <w:p w:rsidR="00000000" w:rsidDel="00000000" w:rsidP="00000000" w:rsidRDefault="00000000" w:rsidRPr="00000000" w14:paraId="0000008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multas previstas, caso sejam aplicadas, serão descontadas por ocasião de pagamentos futuros ou serão pagas por meio de Documento de Arrecadação Municipal (DAM) pela futura Contratada no prazo que o despacho de sua aplicação determinar.</w:t>
      </w:r>
    </w:p>
    <w:p w:rsidR="00000000" w:rsidDel="00000000" w:rsidP="00000000" w:rsidRDefault="00000000" w:rsidRPr="00000000" w14:paraId="0000008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fixadas serão aplicadas nos autos do processo de gestão do Contratação, no qual será assegurado à futura contratada o contraditório e a ampla defesa.</w:t>
      </w:r>
    </w:p>
    <w:p w:rsidR="00000000" w:rsidDel="00000000" w:rsidP="00000000" w:rsidRDefault="00000000" w:rsidRPr="00000000" w14:paraId="0000008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atraso, para efeito de cálculo de multa, será contado em dias corridos, a partir do dia seguinte ao do vencimento do prazo de entrega dos produtos, se dia de expediente normal no órgão ou entidade interessada, ou do primeiro dia útil seguinte.</w:t>
      </w:r>
    </w:p>
    <w:p w:rsidR="00000000" w:rsidDel="00000000" w:rsidP="00000000" w:rsidRDefault="00000000" w:rsidRPr="00000000" w14:paraId="0000008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Decorridos 30 (trinta) dias de atraso injustificado na entrega dos produtos, a Nota de Empenho ou Contratação deverá ser cancelada ou rescindido, exceto se houver justificado interesse público em manter a avença, hipótese em que será aplicada multa.</w:t>
      </w:r>
    </w:p>
    <w:p w:rsidR="00000000" w:rsidDel="00000000" w:rsidP="00000000" w:rsidRDefault="00000000" w:rsidRPr="00000000" w14:paraId="0000008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suspensão e o impedimento são sanções administrativas que temporariamente obstam a participação em licitação e a contratação, sendo aplicadas nos seguintes prazos e hipóteses: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30 (trinta) dias, quando, vencido o prazo da Advertência, a Contratada permanecer inadimplente;</w:t>
      </w:r>
    </w:p>
    <w:p w:rsidR="00000000" w:rsidDel="00000000" w:rsidP="00000000" w:rsidRDefault="00000000" w:rsidRPr="00000000" w14:paraId="0000008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01 (um) ano, quando a Contratada falhar ou fraudar na execução do Contratação, comportar-se de modo inidôneo, fizer declaração falsa ou cometer fraude fiscal; e</w:t>
      </w:r>
    </w:p>
    <w:p w:rsidR="00000000" w:rsidDel="00000000" w:rsidP="00000000" w:rsidRDefault="00000000" w:rsidRPr="00000000" w14:paraId="0000009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02 (dois) anos, quando a Contratada: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c.1) Praticar atos ilegais ou imorais visando frustrar os objetivos da contratação; ou</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c.2) For multada, e não efetuar o pagamento.</w:t>
      </w:r>
    </w:p>
    <w:p w:rsidR="00000000" w:rsidDel="00000000" w:rsidP="00000000" w:rsidRDefault="00000000" w:rsidRPr="00000000" w14:paraId="0000009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previsto no item 15.8, alínea “c”, poderá ser aumentado em até 5 (cinco) anos.</w:t>
      </w:r>
    </w:p>
    <w:p w:rsidR="00000000" w:rsidDel="00000000" w:rsidP="00000000" w:rsidRDefault="00000000" w:rsidRPr="00000000" w14:paraId="0000009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000000" w:rsidDel="00000000" w:rsidP="00000000" w:rsidRDefault="00000000" w:rsidRPr="00000000" w14:paraId="0000009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será aplicada à vista dos motivos informados na instrução processual, podendo a reabilitação ser requerida após 2 (dois) anos de sua aplicação.</w:t>
      </w:r>
    </w:p>
    <w:p w:rsidR="00000000" w:rsidDel="00000000" w:rsidP="00000000" w:rsidRDefault="00000000" w:rsidRPr="00000000" w14:paraId="0000009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000000" w:rsidDel="00000000" w:rsidP="00000000" w:rsidRDefault="00000000" w:rsidRPr="00000000" w14:paraId="0000009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administrativas serão registradas no SICAF.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numPr>
          <w:ilvl w:val="0"/>
          <w:numId w:val="2"/>
        </w:numPr>
        <w:pBdr>
          <w:bottom w:color="000000" w:space="1" w:sz="4" w:val="single"/>
        </w:pBdr>
        <w:tabs>
          <w:tab w:val="left" w:pos="284"/>
        </w:tabs>
        <w:ind w:left="3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DISPOSIÇÕES GERAIS/INFORMAÇÕES COMPLEMENTARES</w:t>
      </w:r>
    </w:p>
    <w:p w:rsidR="00000000" w:rsidDel="00000000" w:rsidP="00000000" w:rsidRDefault="00000000" w:rsidRPr="00000000" w14:paraId="0000009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Setor Técnico competente auxiliará o pregoeiro nos casos de pedidos de esclarecimentos, impugnações e análise de propostas.</w:t>
      </w:r>
    </w:p>
    <w:p w:rsidR="00000000" w:rsidDel="00000000" w:rsidP="00000000" w:rsidRDefault="00000000" w:rsidRPr="00000000" w14:paraId="0000009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Eventuais pedidos de informações/esclarecimentos deverão ser encaminhados a Agência Municipal de Regulação de Serviços Delegados - ARSER, através do e-mail: gerencia.planejamento@arser.maceio.al.gov.br, telefone para contato (82) </w:t>
      </w:r>
      <w:r w:rsidDel="00000000" w:rsidR="00000000" w:rsidRPr="00000000">
        <w:rPr>
          <w:rFonts w:ascii="Calibri" w:cs="Calibri" w:eastAsia="Calibri" w:hAnsi="Calibri"/>
          <w:sz w:val="22"/>
          <w:szCs w:val="22"/>
          <w:rtl w:val="0"/>
        </w:rPr>
        <w:t xml:space="preserve">3312-5100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C">
      <w:pPr>
        <w:tabs>
          <w:tab w:val="left" w:pos="284"/>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tabs>
          <w:tab w:val="left" w:pos="284"/>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Maceió, 16 de abril de 2020</w:t>
      </w:r>
    </w:p>
    <w:p w:rsidR="00000000" w:rsidDel="00000000" w:rsidP="00000000" w:rsidRDefault="00000000" w:rsidRPr="00000000" w14:paraId="0000009E">
      <w:pPr>
        <w:tabs>
          <w:tab w:val="left" w:pos="5510"/>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9F">
      <w:pPr>
        <w:tabs>
          <w:tab w:val="left" w:pos="5510"/>
        </w:tabs>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Diego Passos Lima</w:t>
      </w:r>
    </w:p>
    <w:p w:rsidR="00000000" w:rsidDel="00000000" w:rsidP="00000000" w:rsidRDefault="00000000" w:rsidRPr="00000000" w14:paraId="000000A1">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Gerente de Planejamento e Contratações</w:t>
      </w:r>
      <w:r w:rsidDel="00000000" w:rsidR="00000000" w:rsidRPr="00000000">
        <w:rPr>
          <w:rtl w:val="0"/>
        </w:rPr>
      </w:r>
    </w:p>
    <w:p w:rsidR="00000000" w:rsidDel="00000000" w:rsidP="00000000" w:rsidRDefault="00000000" w:rsidRPr="00000000" w14:paraId="000000A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A">
      <w:pP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objeto perfaz Registrar Preços para futura e eventual aquisição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Água Mineral, sem gás (Copos de 200ml e Garrafas de 500ml),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atendimento aos diversos Órgãos e Entidades da Administração Pública do Município de Maceió, nas especificações e quantidades constantes neste Anexo I do Termo de Referência, para atendimento aos diversos Órgãos e Entidades da Administração Pública do Município de Maceió, nas especificações e quantidades constantes abaixo:</w:t>
      </w:r>
    </w:p>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sz w:val="22"/>
          <w:szCs w:val="22"/>
        </w:rPr>
      </w:pPr>
      <w:r w:rsidDel="00000000" w:rsidR="00000000" w:rsidRPr="00000000">
        <w:rPr>
          <w:rtl w:val="0"/>
        </w:rPr>
      </w:r>
    </w:p>
    <w:tbl>
      <w:tblPr>
        <w:tblStyle w:val="Table1"/>
        <w:tblW w:w="93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6"/>
        <w:gridCol w:w="5943"/>
        <w:gridCol w:w="1311"/>
        <w:gridCol w:w="1416"/>
        <w:tblGridChange w:id="0">
          <w:tblGrid>
            <w:gridCol w:w="676"/>
            <w:gridCol w:w="5943"/>
            <w:gridCol w:w="1311"/>
            <w:gridCol w:w="1416"/>
          </w:tblGrid>
        </w:tblGridChange>
      </w:tblGrid>
      <w:tr>
        <w:tc>
          <w:tcPr/>
          <w:p w:rsidR="00000000" w:rsidDel="00000000" w:rsidP="00000000" w:rsidRDefault="00000000" w:rsidRPr="00000000" w14:paraId="000000A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Item</w:t>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Descrição</w:t>
            </w:r>
          </w:p>
        </w:tc>
        <w:tc>
          <w:tcPr/>
          <w:p w:rsidR="00000000" w:rsidDel="00000000" w:rsidP="00000000" w:rsidRDefault="00000000" w:rsidRPr="00000000" w14:paraId="000000B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Unidade</w:t>
            </w:r>
          </w:p>
        </w:tc>
        <w:tc>
          <w:tcPr/>
          <w:p w:rsidR="00000000" w:rsidDel="00000000" w:rsidP="00000000" w:rsidRDefault="00000000" w:rsidRPr="00000000" w14:paraId="000000B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Quant</w:t>
            </w:r>
          </w:p>
        </w:tc>
      </w:tr>
      <w:tr>
        <w:tc>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0B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ÁGUA MINERAL: </w:t>
            </w:r>
            <w:r w:rsidDel="00000000" w:rsidR="00000000" w:rsidRPr="00000000">
              <w:rPr>
                <w:rFonts w:ascii="Calibri" w:cs="Calibri" w:eastAsia="Calibri" w:hAnsi="Calibri"/>
                <w:b w:val="1"/>
                <w:sz w:val="22"/>
                <w:szCs w:val="22"/>
                <w:rtl w:val="0"/>
              </w:rPr>
              <w:t xml:space="preserve">Garrafa de polipropileno de 500ml. </w:t>
            </w:r>
            <w:r w:rsidDel="00000000" w:rsidR="00000000" w:rsidRPr="00000000">
              <w:rPr>
                <w:rFonts w:ascii="Calibri" w:cs="Calibri" w:eastAsia="Calibri" w:hAnsi="Calibri"/>
                <w:sz w:val="22"/>
                <w:szCs w:val="22"/>
                <w:rtl w:val="0"/>
              </w:rPr>
              <w:t xml:space="preserve">Natural, sem gás, inodora, insípida, tampa com rosca, com validade mínima de 05 (cinco) meses a contar da data da entrega. Fardo com 12(doze) unidades.</w:t>
            </w:r>
          </w:p>
          <w:p w:rsidR="00000000" w:rsidDel="00000000" w:rsidP="00000000" w:rsidRDefault="00000000" w:rsidRPr="00000000" w14:paraId="000000B5">
            <w:pP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Devendo trazer no rótulo os dados de identificação, composição química características físico-químicas, fonte, data, local de envase e validade. </w:t>
            </w:r>
            <w:r w:rsidDel="00000000" w:rsidR="00000000" w:rsidRPr="00000000">
              <w:rPr>
                <w:rtl w:val="0"/>
              </w:rPr>
            </w:r>
          </w:p>
        </w:tc>
        <w:tc>
          <w:tcPr/>
          <w:p w:rsidR="00000000" w:rsidDel="00000000" w:rsidP="00000000" w:rsidRDefault="00000000" w:rsidRPr="00000000" w14:paraId="000000B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FARDO </w:t>
            </w:r>
          </w:p>
        </w:tc>
        <w:tc>
          <w:tcPr>
            <w:vAlign w:val="center"/>
          </w:tcPr>
          <w:p w:rsidR="00000000" w:rsidDel="00000000" w:rsidP="00000000" w:rsidRDefault="00000000" w:rsidRPr="00000000" w14:paraId="000000B9">
            <w:pPr>
              <w:jc w:val="center"/>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B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B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ÁGUA MINERAL: </w:t>
            </w:r>
            <w:r w:rsidDel="00000000" w:rsidR="00000000" w:rsidRPr="00000000">
              <w:rPr>
                <w:rFonts w:ascii="Calibri" w:cs="Calibri" w:eastAsia="Calibri" w:hAnsi="Calibri"/>
                <w:b w:val="1"/>
                <w:sz w:val="22"/>
                <w:szCs w:val="22"/>
                <w:rtl w:val="0"/>
              </w:rPr>
              <w:t xml:space="preserve">Copo de polipropileno de 200 ml.  N</w:t>
            </w:r>
            <w:r w:rsidDel="00000000" w:rsidR="00000000" w:rsidRPr="00000000">
              <w:rPr>
                <w:rFonts w:ascii="Calibri" w:cs="Calibri" w:eastAsia="Calibri" w:hAnsi="Calibri"/>
                <w:sz w:val="22"/>
                <w:szCs w:val="22"/>
                <w:rtl w:val="0"/>
              </w:rPr>
              <w:t xml:space="preserve">atural, sem gás, inodora, insípida, protetor na parte superior e lacre de segurança, personalizado pelo fabricante, sem avarias. Caixa com 48 unidades. Prazo de validade igual ou superior a 01 ano.</w:t>
            </w:r>
          </w:p>
          <w:p w:rsidR="00000000" w:rsidDel="00000000" w:rsidP="00000000" w:rsidRDefault="00000000" w:rsidRPr="00000000" w14:paraId="000000BC">
            <w:pP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Devendo trazer no rótulo os dados de identificação, composição química características físico-químicas, fonte, data, local de envase e validade.</w:t>
            </w:r>
            <w:r w:rsidDel="00000000" w:rsidR="00000000" w:rsidRPr="00000000">
              <w:rPr>
                <w:rtl w:val="0"/>
              </w:rPr>
            </w:r>
          </w:p>
        </w:tc>
        <w:tc>
          <w:tcPr/>
          <w:p w:rsidR="00000000" w:rsidDel="00000000" w:rsidP="00000000" w:rsidRDefault="00000000" w:rsidRPr="00000000" w14:paraId="000000B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CAIXA</w:t>
            </w:r>
          </w:p>
        </w:tc>
        <w:tc>
          <w:tcPr>
            <w:vAlign w:val="center"/>
          </w:tcPr>
          <w:p w:rsidR="00000000" w:rsidDel="00000000" w:rsidP="00000000" w:rsidRDefault="00000000" w:rsidRPr="00000000" w14:paraId="000000C0">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Observações: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água mineral envasada deverá estar de acordo com o Decreto nº. 3.029, de 16/4/99, e Resoluções RDC nº. 274 e 275, de 22/9/05 e nº. 173, de 13/9/06, Portaria 387, de 19/09/08, Norma NBR/ABNT 14.222/05, Versão corrigida em 01/09/2009. Produto sujeito à verificação, no ato da entrega, aos procedimentos administrativos determinados pela Anvisa.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spacing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6">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ANEXO II- </w:t>
      </w:r>
      <w:r w:rsidDel="00000000" w:rsidR="00000000" w:rsidRPr="00000000">
        <w:rPr>
          <w:rFonts w:ascii="Calibri" w:cs="Calibri" w:eastAsia="Calibri" w:hAnsi="Calibri"/>
          <w:sz w:val="22"/>
          <w:szCs w:val="22"/>
          <w:rtl w:val="0"/>
        </w:rPr>
        <w:t xml:space="preserve">ENDEREÇOS DE ENTREGA DOS ÓRGÃOS</w:t>
      </w:r>
    </w:p>
    <w:tbl>
      <w:tblPr>
        <w:tblStyle w:val="Table2"/>
        <w:tblW w:w="93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1530"/>
        <w:gridCol w:w="7088"/>
        <w:tblGridChange w:id="0">
          <w:tblGrid>
            <w:gridCol w:w="738"/>
            <w:gridCol w:w="1530"/>
            <w:gridCol w:w="7088"/>
          </w:tblGrid>
        </w:tblGridChange>
      </w:tblGrid>
      <w:tr>
        <w:trPr>
          <w:trHeight w:val="308" w:hRule="atLeast"/>
        </w:trPr>
        <w:tc>
          <w:tcPr>
            <w:gridSpan w:val="2"/>
            <w:vAlign w:val="center"/>
          </w:tcPr>
          <w:p w:rsidR="00000000" w:rsidDel="00000000" w:rsidP="00000000" w:rsidRDefault="00000000" w:rsidRPr="00000000" w14:paraId="000000D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ÓRGÃO GERENCIADOR</w:t>
            </w:r>
          </w:p>
        </w:tc>
        <w:tc>
          <w:tcPr>
            <w:vAlign w:val="center"/>
          </w:tcPr>
          <w:p w:rsidR="00000000" w:rsidDel="00000000" w:rsidP="00000000" w:rsidRDefault="00000000" w:rsidRPr="00000000" w14:paraId="000000D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ENDEREÇO</w:t>
            </w:r>
          </w:p>
        </w:tc>
      </w:tr>
      <w:tr>
        <w:trPr>
          <w:trHeight w:val="257" w:hRule="atLeast"/>
        </w:trPr>
        <w:tc>
          <w:tcPr/>
          <w:p w:rsidR="00000000" w:rsidDel="00000000" w:rsidP="00000000" w:rsidRDefault="00000000" w:rsidRPr="00000000" w14:paraId="000000D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0D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ARSER</w:t>
            </w:r>
          </w:p>
        </w:tc>
        <w:tc>
          <w:tcPr/>
          <w:p w:rsidR="00000000" w:rsidDel="00000000" w:rsidP="00000000" w:rsidRDefault="00000000" w:rsidRPr="00000000" w14:paraId="000000DC">
            <w:pPr>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Rua Eng. Roberto Gonçalves Menezes, 71, Centro, Maceió-AL, CEP 57020-680.</w:t>
            </w:r>
            <w:r w:rsidDel="00000000" w:rsidR="00000000" w:rsidRPr="00000000">
              <w:rPr>
                <w:rtl w:val="0"/>
              </w:rPr>
            </w:r>
          </w:p>
        </w:tc>
      </w:tr>
      <w:tr>
        <w:trPr>
          <w:trHeight w:val="353" w:hRule="atLeast"/>
        </w:trPr>
        <w:tc>
          <w:tcPr>
            <w:gridSpan w:val="2"/>
            <w:vAlign w:val="center"/>
          </w:tcPr>
          <w:p w:rsidR="00000000" w:rsidDel="00000000" w:rsidP="00000000" w:rsidRDefault="00000000" w:rsidRPr="00000000" w14:paraId="000000D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ÓRGÃOS PARTICIPANTES</w:t>
            </w:r>
          </w:p>
        </w:tc>
        <w:tc>
          <w:tcPr>
            <w:vAlign w:val="center"/>
          </w:tcPr>
          <w:p w:rsidR="00000000" w:rsidDel="00000000" w:rsidP="00000000" w:rsidRDefault="00000000" w:rsidRPr="00000000" w14:paraId="000000DF">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ENDEREÇOS:</w:t>
            </w:r>
          </w:p>
        </w:tc>
      </w:tr>
      <w:tr>
        <w:trPr>
          <w:trHeight w:val="353" w:hRule="atLeast"/>
        </w:trPr>
        <w:tc>
          <w:tcPr/>
          <w:p w:rsidR="00000000" w:rsidDel="00000000" w:rsidP="00000000" w:rsidRDefault="00000000" w:rsidRPr="00000000" w14:paraId="000000E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0E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SEMGE</w:t>
            </w:r>
          </w:p>
        </w:tc>
        <w:tc>
          <w:tcPr/>
          <w:p w:rsidR="00000000" w:rsidDel="00000000" w:rsidP="00000000" w:rsidRDefault="00000000" w:rsidRPr="00000000" w14:paraId="000000E2">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highlight w:val="white"/>
                <w:rtl w:val="0"/>
              </w:rPr>
              <w:t xml:space="preserve">Rua Pedro Monteiro, 5, Centro.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57020-150 / Fone: (82) 3315-7115 / 7104 / 7113</w:t>
            </w:r>
            <w:r w:rsidDel="00000000" w:rsidR="00000000" w:rsidRPr="00000000">
              <w:rPr>
                <w:rtl w:val="0"/>
              </w:rPr>
            </w:r>
          </w:p>
        </w:tc>
      </w:tr>
      <w:tr>
        <w:trPr>
          <w:trHeight w:val="473" w:hRule="atLeast"/>
        </w:trPr>
        <w:tc>
          <w:tcPr/>
          <w:p w:rsidR="00000000" w:rsidDel="00000000" w:rsidP="00000000" w:rsidRDefault="00000000" w:rsidRPr="00000000" w14:paraId="000000E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0E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SECOM</w:t>
            </w:r>
          </w:p>
        </w:tc>
        <w:tc>
          <w:tcPr/>
          <w:p w:rsidR="00000000" w:rsidDel="00000000" w:rsidP="00000000" w:rsidRDefault="00000000" w:rsidRPr="00000000" w14:paraId="000000E5">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Jangadeiros Alagoanos, Pajuçara, Nº 1481 -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57030-000 - Fones: (55 82) 3315-5736 / 3315-5074 </w:t>
            </w:r>
          </w:p>
        </w:tc>
      </w:tr>
      <w:tr>
        <w:trPr>
          <w:trHeight w:val="353" w:hRule="atLeast"/>
        </w:trPr>
        <w:tc>
          <w:tcPr/>
          <w:p w:rsidR="00000000" w:rsidDel="00000000" w:rsidP="00000000" w:rsidRDefault="00000000" w:rsidRPr="00000000" w14:paraId="000000E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p w:rsidR="00000000" w:rsidDel="00000000" w:rsidP="00000000" w:rsidRDefault="00000000" w:rsidRPr="00000000" w14:paraId="000000E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SMCI</w:t>
            </w:r>
          </w:p>
        </w:tc>
        <w:tc>
          <w:tcPr/>
          <w:p w:rsidR="00000000" w:rsidDel="00000000" w:rsidP="00000000" w:rsidRDefault="00000000" w:rsidRPr="00000000" w14:paraId="000000E8">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Sá e Albuquerque, 235, Jaraguá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 Fone: 3315.9001</w:t>
            </w:r>
          </w:p>
        </w:tc>
      </w:tr>
      <w:tr>
        <w:trPr>
          <w:trHeight w:val="353" w:hRule="atLeast"/>
        </w:trPr>
        <w:tc>
          <w:tcPr/>
          <w:p w:rsidR="00000000" w:rsidDel="00000000" w:rsidP="00000000" w:rsidRDefault="00000000" w:rsidRPr="00000000" w14:paraId="000000E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p w:rsidR="00000000" w:rsidDel="00000000" w:rsidP="00000000" w:rsidRDefault="00000000" w:rsidRPr="00000000" w14:paraId="000000E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SEMED</w:t>
            </w:r>
          </w:p>
        </w:tc>
        <w:tc>
          <w:tcPr/>
          <w:p w:rsidR="00000000" w:rsidDel="00000000" w:rsidP="00000000" w:rsidRDefault="00000000" w:rsidRPr="00000000" w14:paraId="000000EB">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General Hermes, 1199, Cambona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57017-000 //Fone: (82) 3315-4553</w:t>
            </w:r>
          </w:p>
        </w:tc>
      </w:tr>
      <w:tr>
        <w:trPr>
          <w:trHeight w:val="353" w:hRule="atLeast"/>
        </w:trPr>
        <w:tc>
          <w:tcPr/>
          <w:p w:rsidR="00000000" w:rsidDel="00000000" w:rsidP="00000000" w:rsidRDefault="00000000" w:rsidRPr="00000000" w14:paraId="000000E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p w:rsidR="00000000" w:rsidDel="00000000" w:rsidP="00000000" w:rsidRDefault="00000000" w:rsidRPr="00000000" w14:paraId="000000E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SEMELJ</w:t>
            </w:r>
          </w:p>
        </w:tc>
        <w:tc>
          <w:tcPr/>
          <w:p w:rsidR="00000000" w:rsidDel="00000000" w:rsidP="00000000" w:rsidRDefault="00000000" w:rsidRPr="00000000" w14:paraId="000000EE">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Sá e Albuquerque, 235, Jaraguá </w:t>
            </w:r>
          </w:p>
        </w:tc>
      </w:tr>
      <w:tr>
        <w:trPr>
          <w:trHeight w:val="353" w:hRule="atLeast"/>
        </w:trPr>
        <w:tc>
          <w:tcPr/>
          <w:p w:rsidR="00000000" w:rsidDel="00000000" w:rsidP="00000000" w:rsidRDefault="00000000" w:rsidRPr="00000000" w14:paraId="000000E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c>
          <w:tcPr/>
          <w:p w:rsidR="00000000" w:rsidDel="00000000" w:rsidP="00000000" w:rsidRDefault="00000000" w:rsidRPr="00000000" w14:paraId="000000F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SEMEC</w:t>
            </w:r>
          </w:p>
        </w:tc>
        <w:tc>
          <w:tcPr/>
          <w:p w:rsidR="00000000" w:rsidDel="00000000" w:rsidP="00000000" w:rsidRDefault="00000000" w:rsidRPr="00000000" w14:paraId="000000F1">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Pedro Monteiro, nº 47, Centro - Maceió/AL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57020-380</w:t>
            </w:r>
          </w:p>
        </w:tc>
      </w:tr>
      <w:tr>
        <w:trPr>
          <w:trHeight w:val="353" w:hRule="atLeast"/>
        </w:trPr>
        <w:tc>
          <w:tcPr/>
          <w:p w:rsidR="00000000" w:rsidDel="00000000" w:rsidP="00000000" w:rsidRDefault="00000000" w:rsidRPr="00000000" w14:paraId="000000F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c>
          <w:tcPr/>
          <w:p w:rsidR="00000000" w:rsidDel="00000000" w:rsidP="00000000" w:rsidRDefault="00000000" w:rsidRPr="00000000" w14:paraId="000000F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SMG</w:t>
            </w:r>
          </w:p>
        </w:tc>
        <w:tc>
          <w:tcPr/>
          <w:p w:rsidR="00000000" w:rsidDel="00000000" w:rsidP="00000000" w:rsidRDefault="00000000" w:rsidRPr="00000000" w14:paraId="000000F4">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Sá e Albuquerque, 235, Jaraguá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highlight w:val="white"/>
                <w:rtl w:val="0"/>
              </w:rPr>
              <w:t xml:space="preserve">Maceió - AL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57030-16. Fones: (82) 3315-5042 / 3787</w:t>
            </w:r>
          </w:p>
        </w:tc>
      </w:tr>
      <w:tr>
        <w:trPr>
          <w:trHeight w:val="353" w:hRule="atLeast"/>
        </w:trPr>
        <w:tc>
          <w:tcPr/>
          <w:p w:rsidR="00000000" w:rsidDel="00000000" w:rsidP="00000000" w:rsidRDefault="00000000" w:rsidRPr="00000000" w14:paraId="000000F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p w:rsidR="00000000" w:rsidDel="00000000" w:rsidP="00000000" w:rsidRDefault="00000000" w:rsidRPr="00000000" w14:paraId="000000F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SEMINFRA</w:t>
            </w:r>
          </w:p>
        </w:tc>
        <w:tc>
          <w:tcPr/>
          <w:p w:rsidR="00000000" w:rsidDel="00000000" w:rsidP="00000000" w:rsidRDefault="00000000" w:rsidRPr="00000000" w14:paraId="000000F7">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do Imperador, 307, Centro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57023-060 // Fones: (82) 3315-5005 /3536</w:t>
            </w:r>
          </w:p>
        </w:tc>
      </w:tr>
      <w:tr>
        <w:trPr>
          <w:trHeight w:val="353" w:hRule="atLeast"/>
        </w:trPr>
        <w:tc>
          <w:tcPr/>
          <w:p w:rsidR="00000000" w:rsidDel="00000000" w:rsidP="00000000" w:rsidRDefault="00000000" w:rsidRPr="00000000" w14:paraId="000000F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p w:rsidR="00000000" w:rsidDel="00000000" w:rsidP="00000000" w:rsidRDefault="00000000" w:rsidRPr="00000000" w14:paraId="000000F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SEMDS</w:t>
            </w:r>
          </w:p>
        </w:tc>
        <w:tc>
          <w:tcPr/>
          <w:p w:rsidR="00000000" w:rsidDel="00000000" w:rsidP="00000000" w:rsidRDefault="00000000" w:rsidRPr="00000000" w14:paraId="000000FA">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Marquês de Abrantes, s/n, Bebedouro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57018-655 // Fones: (82) 3315-4735 /4736 Parque Municipal: 3358-6232</w:t>
            </w:r>
          </w:p>
        </w:tc>
      </w:tr>
      <w:tr>
        <w:trPr>
          <w:trHeight w:val="353" w:hRule="atLeast"/>
        </w:trPr>
        <w:tc>
          <w:tcPr/>
          <w:p w:rsidR="00000000" w:rsidDel="00000000" w:rsidP="00000000" w:rsidRDefault="00000000" w:rsidRPr="00000000" w14:paraId="000000F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p w:rsidR="00000000" w:rsidDel="00000000" w:rsidP="00000000" w:rsidRDefault="00000000" w:rsidRPr="00000000" w14:paraId="000000FC">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GP</w:t>
            </w:r>
          </w:p>
        </w:tc>
        <w:tc>
          <w:tcPr/>
          <w:p w:rsidR="00000000" w:rsidDel="00000000" w:rsidP="00000000" w:rsidRDefault="00000000" w:rsidRPr="00000000" w14:paraId="000000FD">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Sá e Albuquerque, 235, Jaraguá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highlight w:val="white"/>
                <w:rtl w:val="0"/>
              </w:rPr>
              <w:t xml:space="preserve">Telefones: (82) 3315.5040 / 5045</w:t>
            </w:r>
          </w:p>
        </w:tc>
      </w:tr>
      <w:tr>
        <w:trPr>
          <w:trHeight w:val="353" w:hRule="atLeast"/>
        </w:trPr>
        <w:tc>
          <w:tcPr/>
          <w:p w:rsidR="00000000" w:rsidDel="00000000" w:rsidP="00000000" w:rsidRDefault="00000000" w:rsidRPr="00000000" w14:paraId="000000F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p w:rsidR="00000000" w:rsidDel="00000000" w:rsidP="00000000" w:rsidRDefault="00000000" w:rsidRPr="00000000" w14:paraId="000000FF">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PGM</w:t>
            </w:r>
          </w:p>
        </w:tc>
        <w:tc>
          <w:tcPr/>
          <w:p w:rsidR="00000000" w:rsidDel="00000000" w:rsidP="00000000" w:rsidRDefault="00000000" w:rsidRPr="00000000" w14:paraId="00000100">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Dr. Pedro Monteiro, 291, Centro.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57020-380 | Telefones: 3327-4902 / 3327-7409 / 3327-1588 / 3327-1447</w:t>
            </w:r>
          </w:p>
        </w:tc>
      </w:tr>
      <w:tr>
        <w:trPr>
          <w:trHeight w:val="353" w:hRule="atLeast"/>
        </w:trPr>
        <w:tc>
          <w:tcPr/>
          <w:p w:rsidR="00000000" w:rsidDel="00000000" w:rsidP="00000000" w:rsidRDefault="00000000" w:rsidRPr="00000000" w14:paraId="0000010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w:t>
            </w:r>
          </w:p>
        </w:tc>
        <w:tc>
          <w:tcPr/>
          <w:p w:rsidR="00000000" w:rsidDel="00000000" w:rsidP="00000000" w:rsidRDefault="00000000" w:rsidRPr="00000000" w14:paraId="00000102">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SEMSCS</w:t>
            </w:r>
          </w:p>
        </w:tc>
        <w:tc>
          <w:tcPr/>
          <w:p w:rsidR="00000000" w:rsidDel="00000000" w:rsidP="00000000" w:rsidRDefault="00000000" w:rsidRPr="00000000" w14:paraId="00000103">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Avenida Theobaldo Barbosa, s/n, Conjunto Joaquim Leão, Vergel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570145-10 // Fones: (82) 3315-2848 / 1920</w:t>
            </w:r>
          </w:p>
        </w:tc>
      </w:tr>
      <w:tr>
        <w:trPr>
          <w:trHeight w:val="353" w:hRule="atLeast"/>
        </w:trPr>
        <w:tc>
          <w:tcPr/>
          <w:p w:rsidR="00000000" w:rsidDel="00000000" w:rsidP="00000000" w:rsidRDefault="00000000" w:rsidRPr="00000000" w14:paraId="0000010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p w:rsidR="00000000" w:rsidDel="00000000" w:rsidP="00000000" w:rsidRDefault="00000000" w:rsidRPr="00000000" w14:paraId="00000105">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SEDET</w:t>
            </w:r>
          </w:p>
        </w:tc>
        <w:tc>
          <w:tcPr/>
          <w:p w:rsidR="00000000" w:rsidDel="00000000" w:rsidP="00000000" w:rsidRDefault="00000000" w:rsidRPr="00000000" w14:paraId="00000106">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Barão de Anadia, 85, Centro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57020-630 // Fone: (82) 3315-6260</w:t>
            </w:r>
          </w:p>
        </w:tc>
      </w:tr>
      <w:tr>
        <w:trPr>
          <w:trHeight w:val="353" w:hRule="atLeast"/>
        </w:trPr>
        <w:tc>
          <w:tcPr/>
          <w:p w:rsidR="00000000" w:rsidDel="00000000" w:rsidP="00000000" w:rsidRDefault="00000000" w:rsidRPr="00000000" w14:paraId="0000010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p w:rsidR="00000000" w:rsidDel="00000000" w:rsidP="00000000" w:rsidRDefault="00000000" w:rsidRPr="00000000" w14:paraId="00000108">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SEMTUR</w:t>
            </w:r>
          </w:p>
        </w:tc>
        <w:tc>
          <w:tcPr/>
          <w:p w:rsidR="00000000" w:rsidDel="00000000" w:rsidP="00000000" w:rsidRDefault="00000000" w:rsidRPr="00000000" w14:paraId="00000109">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Avenida da Paz, 1422, Centro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57020-440 // Fone: (82) 3336-4409</w:t>
            </w:r>
          </w:p>
        </w:tc>
      </w:tr>
      <w:tr>
        <w:trPr>
          <w:trHeight w:val="353" w:hRule="atLeast"/>
        </w:trPr>
        <w:tc>
          <w:tcPr/>
          <w:p w:rsidR="00000000" w:rsidDel="00000000" w:rsidP="00000000" w:rsidRDefault="00000000" w:rsidRPr="00000000" w14:paraId="0000010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w:t>
            </w:r>
          </w:p>
        </w:tc>
        <w:tc>
          <w:tcPr/>
          <w:p w:rsidR="00000000" w:rsidDel="00000000" w:rsidP="00000000" w:rsidRDefault="00000000" w:rsidRPr="00000000" w14:paraId="0000010B">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GVP</w:t>
            </w:r>
          </w:p>
        </w:tc>
        <w:tc>
          <w:tcPr/>
          <w:p w:rsidR="00000000" w:rsidDel="00000000" w:rsidP="00000000" w:rsidRDefault="00000000" w:rsidRPr="00000000" w14:paraId="0000010C">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Jornalista Lafaiete Belo, 47, Poço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57025-690 // Fones: (82) 3315-2124 / 3315-2125</w:t>
            </w:r>
          </w:p>
        </w:tc>
      </w:tr>
      <w:tr>
        <w:trPr>
          <w:trHeight w:val="353" w:hRule="atLeast"/>
        </w:trPr>
        <w:tc>
          <w:tcPr/>
          <w:p w:rsidR="00000000" w:rsidDel="00000000" w:rsidP="00000000" w:rsidRDefault="00000000" w:rsidRPr="00000000" w14:paraId="0000010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w:t>
            </w:r>
          </w:p>
        </w:tc>
        <w:tc>
          <w:tcPr/>
          <w:p w:rsidR="00000000" w:rsidDel="00000000" w:rsidP="00000000" w:rsidRDefault="00000000" w:rsidRPr="00000000" w14:paraId="0000010E">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GGOV</w:t>
            </w:r>
          </w:p>
        </w:tc>
        <w:tc>
          <w:tcPr/>
          <w:p w:rsidR="00000000" w:rsidDel="00000000" w:rsidP="00000000" w:rsidRDefault="00000000" w:rsidRPr="00000000" w14:paraId="0000010F">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Sá e Albuquerque, 235, Jaraguá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57030-160 Telefones: (82) 3315.5040 / 5045</w:t>
            </w:r>
          </w:p>
        </w:tc>
      </w:tr>
      <w:tr>
        <w:trPr>
          <w:trHeight w:val="353" w:hRule="atLeast"/>
        </w:trPr>
        <w:tc>
          <w:tcPr/>
          <w:p w:rsidR="00000000" w:rsidDel="00000000" w:rsidP="00000000" w:rsidRDefault="00000000" w:rsidRPr="00000000" w14:paraId="0000011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w:t>
            </w:r>
          </w:p>
        </w:tc>
        <w:tc>
          <w:tcPr/>
          <w:p w:rsidR="00000000" w:rsidDel="00000000" w:rsidP="00000000" w:rsidRDefault="00000000" w:rsidRPr="00000000" w14:paraId="00000111">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SEMTABES</w:t>
            </w:r>
          </w:p>
        </w:tc>
        <w:tc>
          <w:tcPr/>
          <w:p w:rsidR="00000000" w:rsidDel="00000000" w:rsidP="00000000" w:rsidRDefault="00000000" w:rsidRPr="00000000" w14:paraId="00000112">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Barão de Anadia, 85, Centro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57020-630 // Fone: (82) 3315-6260</w:t>
            </w:r>
          </w:p>
        </w:tc>
      </w:tr>
      <w:tr>
        <w:trPr>
          <w:trHeight w:val="353" w:hRule="atLeast"/>
        </w:trPr>
        <w:tc>
          <w:tcPr/>
          <w:p w:rsidR="00000000" w:rsidDel="00000000" w:rsidP="00000000" w:rsidRDefault="00000000" w:rsidRPr="00000000" w14:paraId="0000011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w:t>
            </w:r>
          </w:p>
        </w:tc>
        <w:tc>
          <w:tcPr/>
          <w:p w:rsidR="00000000" w:rsidDel="00000000" w:rsidP="00000000" w:rsidRDefault="00000000" w:rsidRPr="00000000" w14:paraId="00000114">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IPREV</w:t>
            </w:r>
          </w:p>
        </w:tc>
        <w:tc>
          <w:tcPr/>
          <w:p w:rsidR="00000000" w:rsidDel="00000000" w:rsidP="00000000" w:rsidRDefault="00000000" w:rsidRPr="00000000" w14:paraId="00000115">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Av. Governador Afrânio Lages, 65, Farol, Maceió- AL, CEP: 57050-015 // Fone: (82) 3315-3276 / (82) 3315-4122</w:t>
            </w:r>
          </w:p>
        </w:tc>
      </w:tr>
      <w:tr>
        <w:trPr>
          <w:trHeight w:val="353" w:hRule="atLeast"/>
        </w:trPr>
        <w:tc>
          <w:tcPr/>
          <w:p w:rsidR="00000000" w:rsidDel="00000000" w:rsidP="00000000" w:rsidRDefault="00000000" w:rsidRPr="00000000" w14:paraId="0000011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p w:rsidR="00000000" w:rsidDel="00000000" w:rsidP="00000000" w:rsidRDefault="00000000" w:rsidRPr="00000000" w14:paraId="00000117">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FMAC</w:t>
            </w:r>
          </w:p>
        </w:tc>
        <w:tc>
          <w:tcPr/>
          <w:p w:rsidR="00000000" w:rsidDel="00000000" w:rsidP="00000000" w:rsidRDefault="00000000" w:rsidRPr="00000000" w14:paraId="00000118">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Avenida da Paz, nº 900, Jaraguá, Maceió/AL</w:t>
            </w:r>
          </w:p>
        </w:tc>
      </w:tr>
      <w:tr>
        <w:trPr>
          <w:trHeight w:val="353" w:hRule="atLeast"/>
        </w:trPr>
        <w:tc>
          <w:tcPr/>
          <w:p w:rsidR="00000000" w:rsidDel="00000000" w:rsidP="00000000" w:rsidRDefault="00000000" w:rsidRPr="00000000" w14:paraId="000001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w:t>
            </w:r>
          </w:p>
        </w:tc>
        <w:tc>
          <w:tcPr/>
          <w:p w:rsidR="00000000" w:rsidDel="00000000" w:rsidP="00000000" w:rsidRDefault="00000000" w:rsidRPr="00000000" w14:paraId="0000011A">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SLUM</w:t>
            </w:r>
          </w:p>
        </w:tc>
        <w:tc>
          <w:tcPr/>
          <w:p w:rsidR="00000000" w:rsidDel="00000000" w:rsidP="00000000" w:rsidRDefault="00000000" w:rsidRPr="00000000" w14:paraId="0000011B">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Praça Ciro Acioly, 96, Ponta Grossa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57014-710 // Fone: (82) 3315-2600 // Disque Limpeza 0800 082 2600</w:t>
            </w:r>
          </w:p>
        </w:tc>
      </w:tr>
      <w:tr>
        <w:trPr>
          <w:trHeight w:val="353" w:hRule="atLeast"/>
        </w:trPr>
        <w:tc>
          <w:tcPr/>
          <w:p w:rsidR="00000000" w:rsidDel="00000000" w:rsidP="00000000" w:rsidRDefault="00000000" w:rsidRPr="00000000" w14:paraId="000001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w:t>
            </w:r>
          </w:p>
        </w:tc>
        <w:tc>
          <w:tcPr/>
          <w:p w:rsidR="00000000" w:rsidDel="00000000" w:rsidP="00000000" w:rsidRDefault="00000000" w:rsidRPr="00000000" w14:paraId="0000011D">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SIMA</w:t>
            </w:r>
          </w:p>
        </w:tc>
        <w:tc>
          <w:tcPr/>
          <w:p w:rsidR="00000000" w:rsidDel="00000000" w:rsidP="00000000" w:rsidRDefault="00000000" w:rsidRPr="00000000" w14:paraId="0000011E">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Marquês de Abrantes, s/n, Bebedouro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57018-330 // Fones: (82) 3315-3821 / 6410 / 3828 Call Center: 0800 031 9055</w:t>
            </w:r>
          </w:p>
        </w:tc>
      </w:tr>
      <w:tr>
        <w:trPr>
          <w:trHeight w:val="353" w:hRule="atLeast"/>
        </w:trPr>
        <w:tc>
          <w:tcPr/>
          <w:p w:rsidR="00000000" w:rsidDel="00000000" w:rsidP="00000000" w:rsidRDefault="00000000" w:rsidRPr="00000000" w14:paraId="0000011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w:t>
            </w:r>
          </w:p>
        </w:tc>
        <w:tc>
          <w:tcPr/>
          <w:p w:rsidR="00000000" w:rsidDel="00000000" w:rsidP="00000000" w:rsidRDefault="00000000" w:rsidRPr="00000000" w14:paraId="00000120">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SMTT</w:t>
            </w:r>
          </w:p>
        </w:tc>
        <w:tc>
          <w:tcPr/>
          <w:p w:rsidR="00000000" w:rsidDel="00000000" w:rsidP="00000000" w:rsidRDefault="00000000" w:rsidRPr="00000000" w14:paraId="00000121">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Avenida Durval de Góes Monteiro, 829, KM 10, Tabuleiro do Martins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57061-000 // Fone: (82) 3315-3571</w:t>
            </w:r>
          </w:p>
        </w:tc>
      </w:tr>
      <w:tr>
        <w:trPr>
          <w:trHeight w:val="353" w:hRule="atLeast"/>
        </w:trPr>
        <w:tc>
          <w:tcPr/>
          <w:p w:rsidR="00000000" w:rsidDel="00000000" w:rsidP="00000000" w:rsidRDefault="00000000" w:rsidRPr="00000000" w14:paraId="000001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w:t>
            </w:r>
          </w:p>
        </w:tc>
        <w:tc>
          <w:tcPr/>
          <w:p w:rsidR="00000000" w:rsidDel="00000000" w:rsidP="00000000" w:rsidRDefault="00000000" w:rsidRPr="00000000" w14:paraId="00000123">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COMARHP</w:t>
            </w:r>
          </w:p>
        </w:tc>
        <w:tc>
          <w:tcPr/>
          <w:p w:rsidR="00000000" w:rsidDel="00000000" w:rsidP="00000000" w:rsidRDefault="00000000" w:rsidRPr="00000000" w14:paraId="00000124">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Rua General Hermes, 281, Cambona </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color w:val="000000"/>
                <w:sz w:val="20"/>
                <w:szCs w:val="20"/>
                <w:highlight w:val="white"/>
                <w:rtl w:val="0"/>
              </w:rPr>
              <w:t xml:space="preserve">CEP 57017-010 // Fone: (82) 3336-5007</w:t>
            </w:r>
          </w:p>
        </w:tc>
      </w:tr>
      <w:tr>
        <w:trPr>
          <w:trHeight w:val="353" w:hRule="atLeast"/>
        </w:trPr>
        <w:tc>
          <w:tcPr/>
          <w:p w:rsidR="00000000" w:rsidDel="00000000" w:rsidP="00000000" w:rsidRDefault="00000000" w:rsidRPr="00000000" w14:paraId="0000012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w:t>
            </w:r>
          </w:p>
        </w:tc>
        <w:tc>
          <w:tcPr>
            <w:shd w:fill="ffffff" w:val="clear"/>
          </w:tcPr>
          <w:p w:rsidR="00000000" w:rsidDel="00000000" w:rsidP="00000000" w:rsidRDefault="00000000" w:rsidRPr="00000000" w14:paraId="000001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SEMAS</w:t>
            </w:r>
          </w:p>
        </w:tc>
        <w:tc>
          <w:tcPr>
            <w:vAlign w:val="center"/>
          </w:tcPr>
          <w:p w:rsidR="00000000" w:rsidDel="00000000" w:rsidP="00000000" w:rsidRDefault="00000000" w:rsidRPr="00000000" w14:paraId="0000012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SEMAS SEDE – AV. COMENDADOR LEÃO, 1383, POÇO, MACEIÓ-AL</w:t>
            </w:r>
          </w:p>
        </w:tc>
      </w:tr>
      <w:tr>
        <w:trPr>
          <w:trHeight w:val="353" w:hRule="atLeast"/>
        </w:trPr>
        <w:tc>
          <w:tcPr/>
          <w:p w:rsidR="00000000" w:rsidDel="00000000" w:rsidP="00000000" w:rsidRDefault="00000000" w:rsidRPr="00000000" w14:paraId="000001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w:t>
            </w:r>
          </w:p>
        </w:tc>
        <w:tc>
          <w:tcPr>
            <w:shd w:fill="ffffff" w:val="clear"/>
          </w:tcPr>
          <w:p w:rsidR="00000000" w:rsidDel="00000000" w:rsidP="00000000" w:rsidRDefault="00000000" w:rsidRPr="00000000" w14:paraId="0000012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SMS</w:t>
            </w:r>
          </w:p>
        </w:tc>
        <w:tc>
          <w:tcPr>
            <w:vAlign w:val="center"/>
          </w:tcPr>
          <w:p w:rsidR="00000000" w:rsidDel="00000000" w:rsidP="00000000" w:rsidRDefault="00000000" w:rsidRPr="00000000" w14:paraId="0000012A">
            <w:pPr>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highlight w:val="white"/>
                <w:rtl w:val="0"/>
              </w:rPr>
              <w:t xml:space="preserve">RUA DIAS CABRAL, 569, CENTRO, CEP 57020-250</w:t>
            </w:r>
            <w:r w:rsidDel="00000000" w:rsidR="00000000" w:rsidRPr="00000000">
              <w:rPr>
                <w:rtl w:val="0"/>
              </w:rPr>
            </w:r>
          </w:p>
        </w:tc>
      </w:tr>
    </w:tbl>
    <w:p w:rsidR="00000000" w:rsidDel="00000000" w:rsidP="00000000" w:rsidRDefault="00000000" w:rsidRPr="00000000" w14:paraId="0000012B">
      <w:pPr>
        <w:jc w:val="both"/>
        <w:rPr>
          <w:rFonts w:ascii="Calibri" w:cs="Calibri" w:eastAsia="Calibri" w:hAnsi="Calibri"/>
          <w:sz w:val="20"/>
          <w:szCs w:val="20"/>
        </w:rPr>
      </w:pPr>
      <w:r w:rsidDel="00000000" w:rsidR="00000000" w:rsidRPr="00000000">
        <w:rPr>
          <w:rtl w:val="0"/>
        </w:rPr>
      </w:r>
    </w:p>
    <w:sectPr>
      <w:headerReference r:id="rId6" w:type="default"/>
      <w:footerReference r:id="rId7" w:type="default"/>
      <w:pgSz w:h="16838" w:w="11906"/>
      <w:pgMar w:bottom="1417" w:top="1417" w:left="1701" w:right="849" w:header="708" w:footer="2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622824" cy="7981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22824" cy="7981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lowerLetter"/>
      <w:lvlText w:val="%3)"/>
      <w:lvlJc w:val="left"/>
      <w:pPr>
        <w:ind w:left="862"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3"/>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lowerLetter"/>
      <w:lvlText w:val="%3)"/>
      <w:lvlJc w:val="left"/>
      <w:pPr>
        <w:ind w:left="862"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7"/>
      <w:numFmt w:val="decimal"/>
      <w:lvlText w:val="%1"/>
      <w:lvlJc w:val="left"/>
      <w:pPr>
        <w:ind w:left="435" w:hanging="435"/>
      </w:pPr>
      <w:rPr/>
    </w:lvl>
    <w:lvl w:ilvl="1">
      <w:start w:val="1"/>
      <w:numFmt w:val="decimal"/>
      <w:lvlText w:val="%1.%2"/>
      <w:lvlJc w:val="left"/>
      <w:pPr>
        <w:ind w:left="435" w:hanging="43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8">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ind w:firstLine="567"/>
    </w:pPr>
    <w:rPr>
      <w:b w:val="1"/>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