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84"/>
        </w:tabs>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TERMO DE REFERÊNCIA</w:t>
      </w:r>
    </w:p>
    <w:p w:rsidR="00000000" w:rsidDel="00000000" w:rsidP="00000000" w:rsidRDefault="00000000" w:rsidRPr="00000000" w14:paraId="00000002">
      <w:pPr>
        <w:tabs>
          <w:tab w:val="left" w:pos="284"/>
        </w:tabs>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03">
      <w:pPr>
        <w:pStyle w:val="Heading4"/>
        <w:keepLines w:val="0"/>
        <w:numPr>
          <w:ilvl w:val="0"/>
          <w:numId w:val="9"/>
        </w:numPr>
        <w:pBdr>
          <w:bottom w:color="000000" w:space="1" w:sz="4" w:val="single"/>
        </w:pBdr>
        <w:tabs>
          <w:tab w:val="left" w:pos="284"/>
        </w:tabs>
        <w:spacing w:before="0" w:lineRule="auto"/>
        <w:ind w:left="0" w:firstLine="0"/>
        <w:rPr>
          <w:rFonts w:ascii="Calibri" w:cs="Calibri" w:eastAsia="Calibri" w:hAnsi="Calibri"/>
          <w:i w:val="0"/>
          <w:color w:val="000000"/>
          <w:sz w:val="22"/>
          <w:szCs w:val="22"/>
        </w:rPr>
      </w:pPr>
      <w:r w:rsidDel="00000000" w:rsidR="00000000" w:rsidRPr="00000000">
        <w:rPr>
          <w:rFonts w:ascii="Calibri" w:cs="Calibri" w:eastAsia="Calibri" w:hAnsi="Calibri"/>
          <w:i w:val="0"/>
          <w:color w:val="000000"/>
          <w:sz w:val="22"/>
          <w:szCs w:val="22"/>
          <w:rtl w:val="0"/>
        </w:rPr>
        <w:t xml:space="preserve">DO OBJETO</w:t>
      </w:r>
    </w:p>
    <w:p w:rsidR="00000000" w:rsidDel="00000000" w:rsidP="00000000" w:rsidRDefault="00000000" w:rsidRPr="00000000" w14:paraId="00000004">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24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Registro de Preços para futura e eventual aquisição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Crachás de Identificação Funcional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nas especificações e quantidades constantes no Anexo I deste Termo de Referência.</w:t>
      </w:r>
    </w:p>
    <w:p w:rsidR="00000000" w:rsidDel="00000000" w:rsidP="00000000" w:rsidRDefault="00000000" w:rsidRPr="00000000" w14:paraId="00000005">
      <w:pPr>
        <w:pStyle w:val="Heading4"/>
        <w:keepLines w:val="0"/>
        <w:numPr>
          <w:ilvl w:val="0"/>
          <w:numId w:val="9"/>
        </w:numPr>
        <w:pBdr>
          <w:bottom w:color="000000" w:space="1" w:sz="4" w:val="single"/>
        </w:pBdr>
        <w:tabs>
          <w:tab w:val="left" w:pos="284"/>
        </w:tabs>
        <w:spacing w:before="0" w:lineRule="auto"/>
        <w:ind w:left="0" w:firstLine="0"/>
        <w:rPr>
          <w:rFonts w:ascii="Calibri" w:cs="Calibri" w:eastAsia="Calibri" w:hAnsi="Calibri"/>
          <w:i w:val="0"/>
          <w:color w:val="000000"/>
          <w:sz w:val="22"/>
          <w:szCs w:val="22"/>
        </w:rPr>
      </w:pPr>
      <w:r w:rsidDel="00000000" w:rsidR="00000000" w:rsidRPr="00000000">
        <w:rPr>
          <w:rFonts w:ascii="Calibri" w:cs="Calibri" w:eastAsia="Calibri" w:hAnsi="Calibri"/>
          <w:i w:val="0"/>
          <w:color w:val="000000"/>
          <w:sz w:val="22"/>
          <w:szCs w:val="22"/>
          <w:rtl w:val="0"/>
        </w:rPr>
        <w:t xml:space="preserve">JUSTIFICATIVA </w:t>
      </w:r>
    </w:p>
    <w:p w:rsidR="00000000" w:rsidDel="00000000" w:rsidP="00000000" w:rsidRDefault="00000000" w:rsidRPr="00000000" w14:paraId="00000006">
      <w:pPr>
        <w:numPr>
          <w:ilvl w:val="1"/>
          <w:numId w:val="11"/>
        </w:numPr>
        <w:spacing w:after="240" w:lineRule="auto"/>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6.592/2016.</w:t>
      </w:r>
    </w:p>
    <w:p w:rsidR="00000000" w:rsidDel="00000000" w:rsidP="00000000" w:rsidRDefault="00000000" w:rsidRPr="00000000" w14:paraId="00000007">
      <w:pPr>
        <w:numPr>
          <w:ilvl w:val="1"/>
          <w:numId w:val="11"/>
        </w:numPr>
        <w:spacing w:after="240" w:lineRule="auto"/>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 âmbito da ARSER está a competência de planejamento, coordenação e controle de procedimentos de compras centralizadas de serviços e materiais de uso comum para atendimento às demandas de todos os órgãos da Administração Pública Municipal.</w:t>
      </w:r>
    </w:p>
    <w:p w:rsidR="00000000" w:rsidDel="00000000" w:rsidP="00000000" w:rsidRDefault="00000000" w:rsidRPr="00000000" w14:paraId="00000008">
      <w:pPr>
        <w:numPr>
          <w:ilvl w:val="1"/>
          <w:numId w:val="11"/>
        </w:numPr>
        <w:spacing w:after="240" w:lineRule="auto"/>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000000" w:rsidDel="00000000" w:rsidP="00000000" w:rsidRDefault="00000000" w:rsidRPr="00000000" w14:paraId="00000009">
      <w:pPr>
        <w:numPr>
          <w:ilvl w:val="1"/>
          <w:numId w:val="11"/>
        </w:numPr>
        <w:spacing w:after="240" w:lineRule="auto"/>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contratação centralizada proporciona uma melhoria nos procedimentos técnicos e administrativos, além da redução do número de processos licitatórios, auferindo a administração redução de custos operacionais e eficiência gerencial.</w:t>
      </w:r>
    </w:p>
    <w:p w:rsidR="00000000" w:rsidDel="00000000" w:rsidP="00000000" w:rsidRDefault="00000000" w:rsidRPr="00000000" w14:paraId="0000000A">
      <w:pPr>
        <w:numPr>
          <w:ilvl w:val="1"/>
          <w:numId w:val="11"/>
        </w:numPr>
        <w:spacing w:after="240" w:lineRule="auto"/>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000000" w:rsidDel="00000000" w:rsidP="00000000" w:rsidRDefault="00000000" w:rsidRPr="00000000" w14:paraId="0000000B">
      <w:pPr>
        <w:numPr>
          <w:ilvl w:val="1"/>
          <w:numId w:val="11"/>
        </w:numPr>
        <w:spacing w:after="240" w:lineRule="auto"/>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unificação e centralização do procedimento de aquisição de materiais e serviços proporcionam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000000" w:rsidDel="00000000" w:rsidP="00000000" w:rsidRDefault="00000000" w:rsidRPr="00000000" w14:paraId="0000000C">
      <w:pPr>
        <w:numPr>
          <w:ilvl w:val="1"/>
          <w:numId w:val="11"/>
        </w:numPr>
        <w:spacing w:after="240" w:lineRule="auto"/>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Administração Pública Municipal ao lançar uma licitação centralizada sinaliza fortemente ao mercado fornecedor de que existe planejamento em suas aquisições e que se busca as melhores negociações.</w:t>
      </w:r>
    </w:p>
    <w:p w:rsidR="00000000" w:rsidDel="00000000" w:rsidP="00000000" w:rsidRDefault="00000000" w:rsidRPr="00000000" w14:paraId="0000000D">
      <w:pPr>
        <w:numPr>
          <w:ilvl w:val="1"/>
          <w:numId w:val="11"/>
        </w:numPr>
        <w:spacing w:after="240" w:lineRule="auto"/>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legislação vigente que regula as aquisições no setor público alberga instrumentos que podem ser utilizados e possibilitam maior eficiência nas aquisições e melhoria na gestão, tais quais a adoção de Sistema de Registro de Preços – SRP.</w:t>
      </w:r>
    </w:p>
    <w:p w:rsidR="00000000" w:rsidDel="00000000" w:rsidP="00000000" w:rsidRDefault="00000000" w:rsidRPr="00000000" w14:paraId="0000000E">
      <w:pPr>
        <w:numPr>
          <w:ilvl w:val="1"/>
          <w:numId w:val="11"/>
        </w:numPr>
        <w:spacing w:after="240" w:lineRule="auto"/>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Dentre as vantagens do Sistema de Registro de Preços, definido no Decreto Municipal nº 7.496 de 11 de abril de 2013, destaca-se:</w:t>
      </w:r>
    </w:p>
    <w:p w:rsidR="00000000" w:rsidDel="00000000" w:rsidP="00000000" w:rsidRDefault="00000000" w:rsidRPr="00000000" w14:paraId="0000000F">
      <w:pPr>
        <w:numPr>
          <w:ilvl w:val="0"/>
          <w:numId w:val="10"/>
        </w:numPr>
        <w:tabs>
          <w:tab w:val="left" w:pos="1985"/>
        </w:tabs>
        <w:spacing w:after="120" w:lineRule="auto"/>
        <w:ind w:left="1418" w:firstLine="0"/>
        <w:jc w:val="both"/>
        <w:rPr>
          <w:sz w:val="22"/>
          <w:szCs w:val="22"/>
        </w:rPr>
      </w:pPr>
      <w:r w:rsidDel="00000000" w:rsidR="00000000" w:rsidRPr="00000000">
        <w:rPr>
          <w:rFonts w:ascii="Calibri" w:cs="Calibri" w:eastAsia="Calibri" w:hAnsi="Calibri"/>
          <w:sz w:val="22"/>
          <w:szCs w:val="22"/>
          <w:rtl w:val="0"/>
        </w:rPr>
        <w:t xml:space="preserve">A vigência da Ata de Registro de Preços é de 12 (doze) meses;</w:t>
      </w:r>
    </w:p>
    <w:p w:rsidR="00000000" w:rsidDel="00000000" w:rsidP="00000000" w:rsidRDefault="00000000" w:rsidRPr="00000000" w14:paraId="00000010">
      <w:pPr>
        <w:numPr>
          <w:ilvl w:val="0"/>
          <w:numId w:val="10"/>
        </w:numPr>
        <w:tabs>
          <w:tab w:val="left" w:pos="1985"/>
        </w:tabs>
        <w:spacing w:after="120" w:lineRule="auto"/>
        <w:ind w:left="1418" w:firstLine="0"/>
        <w:jc w:val="both"/>
        <w:rPr>
          <w:sz w:val="22"/>
          <w:szCs w:val="22"/>
        </w:rPr>
      </w:pPr>
      <w:r w:rsidDel="00000000" w:rsidR="00000000" w:rsidRPr="00000000">
        <w:rPr>
          <w:rFonts w:ascii="Calibri" w:cs="Calibri" w:eastAsia="Calibri" w:hAnsi="Calibri"/>
          <w:sz w:val="22"/>
          <w:szCs w:val="22"/>
          <w:rtl w:val="0"/>
        </w:rPr>
        <w:t xml:space="preserve">É dispensável a dotação orçamentária para iniciar a licitação;</w:t>
      </w:r>
    </w:p>
    <w:p w:rsidR="00000000" w:rsidDel="00000000" w:rsidP="00000000" w:rsidRDefault="00000000" w:rsidRPr="00000000" w14:paraId="00000011">
      <w:pPr>
        <w:numPr>
          <w:ilvl w:val="0"/>
          <w:numId w:val="10"/>
        </w:numPr>
        <w:tabs>
          <w:tab w:val="left" w:pos="1985"/>
        </w:tabs>
        <w:spacing w:after="120" w:lineRule="auto"/>
        <w:ind w:left="1418" w:firstLine="0"/>
        <w:jc w:val="both"/>
        <w:rPr>
          <w:sz w:val="22"/>
          <w:szCs w:val="22"/>
        </w:rPr>
      </w:pPr>
      <w:r w:rsidDel="00000000" w:rsidR="00000000" w:rsidRPr="00000000">
        <w:rPr>
          <w:rFonts w:ascii="Calibri" w:cs="Calibri" w:eastAsia="Calibri" w:hAnsi="Calibri"/>
          <w:sz w:val="22"/>
          <w:szCs w:val="22"/>
          <w:rtl w:val="0"/>
        </w:rPr>
        <w:t xml:space="preserve">Possibilidade de atendimento aos variados tipos de demandas;</w:t>
      </w:r>
    </w:p>
    <w:p w:rsidR="00000000" w:rsidDel="00000000" w:rsidP="00000000" w:rsidRDefault="00000000" w:rsidRPr="00000000" w14:paraId="00000012">
      <w:pPr>
        <w:numPr>
          <w:ilvl w:val="0"/>
          <w:numId w:val="10"/>
        </w:numPr>
        <w:tabs>
          <w:tab w:val="left" w:pos="1985"/>
        </w:tabs>
        <w:spacing w:after="120" w:lineRule="auto"/>
        <w:ind w:left="1418" w:firstLine="0"/>
        <w:jc w:val="both"/>
        <w:rPr>
          <w:sz w:val="22"/>
          <w:szCs w:val="22"/>
        </w:rPr>
      </w:pPr>
      <w:r w:rsidDel="00000000" w:rsidR="00000000" w:rsidRPr="00000000">
        <w:rPr>
          <w:rFonts w:ascii="Calibri" w:cs="Calibri" w:eastAsia="Calibri" w:hAnsi="Calibri"/>
          <w:sz w:val="22"/>
          <w:szCs w:val="22"/>
          <w:rtl w:val="0"/>
        </w:rPr>
        <w:t xml:space="preserve">Redução dos custos operacionais e de estoque;</w:t>
      </w:r>
    </w:p>
    <w:p w:rsidR="00000000" w:rsidDel="00000000" w:rsidP="00000000" w:rsidRDefault="00000000" w:rsidRPr="00000000" w14:paraId="00000013">
      <w:pPr>
        <w:numPr>
          <w:ilvl w:val="0"/>
          <w:numId w:val="10"/>
        </w:numPr>
        <w:tabs>
          <w:tab w:val="left" w:pos="1985"/>
        </w:tabs>
        <w:spacing w:after="120" w:lineRule="auto"/>
        <w:ind w:left="1418" w:firstLine="0"/>
        <w:jc w:val="both"/>
        <w:rPr>
          <w:sz w:val="22"/>
          <w:szCs w:val="22"/>
        </w:rPr>
      </w:pPr>
      <w:r w:rsidDel="00000000" w:rsidR="00000000" w:rsidRPr="00000000">
        <w:rPr>
          <w:rFonts w:ascii="Calibri" w:cs="Calibri" w:eastAsia="Calibri" w:hAnsi="Calibri"/>
          <w:sz w:val="22"/>
          <w:szCs w:val="22"/>
          <w:rtl w:val="0"/>
        </w:rPr>
        <w:t xml:space="preserve">Redução do número de licitações durante o exercício financeiro;</w:t>
      </w:r>
    </w:p>
    <w:p w:rsidR="00000000" w:rsidDel="00000000" w:rsidP="00000000" w:rsidRDefault="00000000" w:rsidRPr="00000000" w14:paraId="00000014">
      <w:pPr>
        <w:numPr>
          <w:ilvl w:val="0"/>
          <w:numId w:val="10"/>
        </w:numPr>
        <w:tabs>
          <w:tab w:val="left" w:pos="1985"/>
        </w:tabs>
        <w:spacing w:after="120" w:lineRule="auto"/>
        <w:ind w:left="1418" w:firstLine="0"/>
        <w:jc w:val="both"/>
        <w:rPr>
          <w:sz w:val="22"/>
          <w:szCs w:val="22"/>
        </w:rPr>
      </w:pPr>
      <w:r w:rsidDel="00000000" w:rsidR="00000000" w:rsidRPr="00000000">
        <w:rPr>
          <w:rFonts w:ascii="Calibri" w:cs="Calibri" w:eastAsia="Calibri" w:hAnsi="Calibri"/>
          <w:sz w:val="22"/>
          <w:szCs w:val="22"/>
          <w:rtl w:val="0"/>
        </w:rPr>
        <w:t xml:space="preserve">Aumento da eficiência administrativa;</w:t>
      </w:r>
    </w:p>
    <w:p w:rsidR="00000000" w:rsidDel="00000000" w:rsidP="00000000" w:rsidRDefault="00000000" w:rsidRPr="00000000" w14:paraId="00000015">
      <w:pPr>
        <w:numPr>
          <w:ilvl w:val="0"/>
          <w:numId w:val="10"/>
        </w:numPr>
        <w:tabs>
          <w:tab w:val="left" w:pos="1985"/>
        </w:tabs>
        <w:spacing w:after="120" w:lineRule="auto"/>
        <w:ind w:left="1418" w:firstLine="0"/>
        <w:jc w:val="both"/>
        <w:rPr>
          <w:sz w:val="22"/>
          <w:szCs w:val="22"/>
        </w:rPr>
      </w:pPr>
      <w:r w:rsidDel="00000000" w:rsidR="00000000" w:rsidRPr="00000000">
        <w:rPr>
          <w:rFonts w:ascii="Calibri" w:cs="Calibri" w:eastAsia="Calibri" w:hAnsi="Calibri"/>
          <w:sz w:val="22"/>
          <w:szCs w:val="22"/>
          <w:rtl w:val="0"/>
        </w:rPr>
        <w:t xml:space="preserve">Agilidade e otimização nas contratações públicas</w:t>
      </w:r>
    </w:p>
    <w:p w:rsidR="00000000" w:rsidDel="00000000" w:rsidP="00000000" w:rsidRDefault="00000000" w:rsidRPr="00000000" w14:paraId="00000016">
      <w:pPr>
        <w:numPr>
          <w:ilvl w:val="0"/>
          <w:numId w:val="10"/>
        </w:numPr>
        <w:tabs>
          <w:tab w:val="left" w:pos="1985"/>
        </w:tabs>
        <w:spacing w:after="120" w:lineRule="auto"/>
        <w:ind w:left="1985" w:hanging="566.9999999999999"/>
        <w:jc w:val="both"/>
        <w:rPr>
          <w:sz w:val="22"/>
          <w:szCs w:val="22"/>
        </w:rPr>
      </w:pPr>
      <w:r w:rsidDel="00000000" w:rsidR="00000000" w:rsidRPr="00000000">
        <w:rPr>
          <w:rFonts w:ascii="Calibri" w:cs="Calibri" w:eastAsia="Calibri" w:hAnsi="Calibri"/>
          <w:sz w:val="22"/>
          <w:szCs w:val="22"/>
          <w:rtl w:val="0"/>
        </w:rPr>
        <w:t xml:space="preserve">Possibilidade de estimar quantitativos quando não é possível definir previamente a quantidade exata do objeto a ser adquirido.</w:t>
      </w:r>
    </w:p>
    <w:p w:rsidR="00000000" w:rsidDel="00000000" w:rsidP="00000000" w:rsidRDefault="00000000" w:rsidRPr="00000000" w14:paraId="00000017">
      <w:pPr>
        <w:numPr>
          <w:ilvl w:val="1"/>
          <w:numId w:val="11"/>
        </w:numPr>
        <w:spacing w:after="240" w:lineRule="auto"/>
        <w:ind w:left="567" w:hanging="56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Nesse sentido, a</w:t>
      </w:r>
      <w:r w:rsidDel="00000000" w:rsidR="00000000" w:rsidRPr="00000000">
        <w:rPr>
          <w:rFonts w:ascii="Calibri" w:cs="Calibri" w:eastAsia="Calibri" w:hAnsi="Calibri"/>
          <w:color w:val="000000"/>
          <w:sz w:val="22"/>
          <w:szCs w:val="22"/>
          <w:rtl w:val="0"/>
        </w:rPr>
        <w:t xml:space="preserve"> presente aquisição objetiva a identificação dos servidores </w:t>
      </w:r>
      <w:r w:rsidDel="00000000" w:rsidR="00000000" w:rsidRPr="00000000">
        <w:rPr>
          <w:rFonts w:ascii="Calibri" w:cs="Calibri" w:eastAsia="Calibri" w:hAnsi="Calibri"/>
          <w:sz w:val="22"/>
          <w:szCs w:val="22"/>
          <w:rtl w:val="0"/>
        </w:rPr>
        <w:t xml:space="preserve">dos Órgãos e Entidades municipais</w:t>
      </w:r>
      <w:r w:rsidDel="00000000" w:rsidR="00000000" w:rsidRPr="00000000">
        <w:rPr>
          <w:rFonts w:ascii="Calibri" w:cs="Calibri" w:eastAsia="Calibri" w:hAnsi="Calibri"/>
          <w:color w:val="000000"/>
          <w:sz w:val="22"/>
          <w:szCs w:val="22"/>
          <w:rtl w:val="0"/>
        </w:rPr>
        <w:t xml:space="preserve">, além dos visitantes, proporcionando:</w:t>
      </w:r>
      <w:r w:rsidDel="00000000" w:rsidR="00000000" w:rsidRPr="00000000">
        <w:rPr>
          <w:rtl w:val="0"/>
        </w:rPr>
      </w:r>
    </w:p>
    <w:p w:rsidR="00000000" w:rsidDel="00000000" w:rsidP="00000000" w:rsidRDefault="00000000" w:rsidRPr="00000000" w14:paraId="00000018">
      <w:pPr>
        <w:numPr>
          <w:ilvl w:val="2"/>
          <w:numId w:val="11"/>
        </w:numPr>
        <w:spacing w:after="240" w:lineRule="auto"/>
        <w:ind w:left="720" w:hanging="72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Controle de acesso no próprio órgão, através da distinção entre servidores e visitantes, conferindo maior segurança e dados estimativos de circulação diária de pessoas no prédio;</w:t>
      </w:r>
      <w:r w:rsidDel="00000000" w:rsidR="00000000" w:rsidRPr="00000000">
        <w:rPr>
          <w:rtl w:val="0"/>
        </w:rPr>
      </w:r>
    </w:p>
    <w:p w:rsidR="00000000" w:rsidDel="00000000" w:rsidP="00000000" w:rsidRDefault="00000000" w:rsidRPr="00000000" w14:paraId="00000019">
      <w:pPr>
        <w:numPr>
          <w:ilvl w:val="2"/>
          <w:numId w:val="11"/>
        </w:numPr>
        <w:spacing w:after="240" w:lineRule="auto"/>
        <w:ind w:left="720" w:hanging="72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Pronta identificação dos servidores responsáveis por prestar atendimento aos usuários dos serviços prestados pelo Órgãos, a outros funcionários públicos, contribuintes, candidatos em seleções de pessoal, entre outros;</w:t>
      </w:r>
      <w:r w:rsidDel="00000000" w:rsidR="00000000" w:rsidRPr="00000000">
        <w:rPr>
          <w:rtl w:val="0"/>
        </w:rPr>
      </w:r>
    </w:p>
    <w:p w:rsidR="00000000" w:rsidDel="00000000" w:rsidP="00000000" w:rsidRDefault="00000000" w:rsidRPr="00000000" w14:paraId="0000001A">
      <w:pPr>
        <w:numPr>
          <w:ilvl w:val="2"/>
          <w:numId w:val="11"/>
        </w:numPr>
        <w:spacing w:after="240" w:lineRule="auto"/>
        <w:ind w:left="720" w:hanging="72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Fácil identificação dos servidores durante o exercício da função quando da apresentação em outros órgãos municipais, estaduais e federais, empresas e demais instituições, em audiências, reuniões, eventos, pesquisas de preço externas, negociações, etc.</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tabs>
          <w:tab w:val="left" w:pos="284"/>
        </w:tabs>
        <w:spacing w:after="6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DAS ESPECIFICAÇÕES</w:t>
      </w:r>
    </w:p>
    <w:p w:rsidR="00000000" w:rsidDel="00000000" w:rsidP="00000000" w:rsidRDefault="00000000" w:rsidRPr="00000000" w14:paraId="0000001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especificações, quantidades estimadas, bem como todas as informações complementares para o regular fornecimento do objeto deste Termo de Referência estão descritas no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ANEXO 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Ressalta-se que as especificações dos materiais poderão desde que não alterem a qualidade do produto, apresentar medidas aproximadas (variação máxima de 10% para mais/menos)”.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tabs>
          <w:tab w:val="left" w:pos="284"/>
        </w:tabs>
        <w:spacing w:after="6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MODALIDADE DA LICITAÇÃO E CRITÉRIO DE JULGAMENTO</w:t>
      </w:r>
    </w:p>
    <w:p w:rsidR="00000000" w:rsidDel="00000000" w:rsidP="00000000" w:rsidRDefault="00000000" w:rsidRPr="00000000" w14:paraId="00000020">
      <w:pPr>
        <w:numPr>
          <w:ilvl w:val="1"/>
          <w:numId w:val="2"/>
        </w:numPr>
        <w:spacing w:after="0" w:afterAutospacing="0"/>
        <w:ind w:left="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aquisição dar-se-á pela modalidade licitatória denominada pregão, em sua forma eletrônica, tendo como critério de julgamento e classificação das propostas, o menor preço por item, observadas as especificações técnicas definidas no Anexo I deste Termo de Referência.</w:t>
      </w:r>
    </w:p>
    <w:p w:rsidR="00000000" w:rsidDel="00000000" w:rsidP="00000000" w:rsidRDefault="00000000" w:rsidRPr="00000000" w14:paraId="00000021">
      <w:pPr>
        <w:numPr>
          <w:ilvl w:val="1"/>
          <w:numId w:val="2"/>
        </w:numPr>
        <w:spacing w:after="0" w:afterAutospacing="0" w:before="0" w:beforeAutospacing="0" w:line="276" w:lineRule="auto"/>
        <w:ind w:left="360"/>
        <w:jc w:val="both"/>
        <w:rPr>
          <w:rFonts w:ascii="Arial" w:cs="Arial" w:eastAsia="Arial" w:hAnsi="Arial"/>
          <w:sz w:val="22"/>
          <w:szCs w:val="22"/>
        </w:rPr>
      </w:pPr>
      <w:r w:rsidDel="00000000" w:rsidR="00000000" w:rsidRPr="00000000">
        <w:rPr>
          <w:rFonts w:ascii="Calibri" w:cs="Calibri" w:eastAsia="Calibri" w:hAnsi="Calibri"/>
          <w:sz w:val="22"/>
          <w:szCs w:val="22"/>
          <w:rtl w:val="0"/>
        </w:rPr>
        <w:t xml:space="preserve">O pregão eletrônico ocorrerá sob o </w:t>
      </w:r>
      <w:r w:rsidDel="00000000" w:rsidR="00000000" w:rsidRPr="00000000">
        <w:rPr>
          <w:rFonts w:ascii="Calibri" w:cs="Calibri" w:eastAsia="Calibri" w:hAnsi="Calibri"/>
          <w:sz w:val="22"/>
          <w:szCs w:val="22"/>
          <w:u w:val="single"/>
          <w:rtl w:val="0"/>
        </w:rPr>
        <w:t xml:space="preserve">modo de disputa Aberto e Fechado</w:t>
      </w:r>
      <w:r w:rsidDel="00000000" w:rsidR="00000000" w:rsidRPr="00000000">
        <w:rPr>
          <w:rFonts w:ascii="Calibri" w:cs="Calibri" w:eastAsia="Calibri" w:hAnsi="Calibri"/>
          <w:sz w:val="22"/>
          <w:szCs w:val="22"/>
          <w:rtl w:val="0"/>
        </w:rPr>
        <w:t xml:space="preserve">, onde os licitantes apresentarão lances públicos e sucessivos, com lance final e fechado.</w:t>
      </w:r>
    </w:p>
    <w:p w:rsidR="00000000" w:rsidDel="00000000" w:rsidP="00000000" w:rsidRDefault="00000000" w:rsidRPr="00000000" w14:paraId="00000022">
      <w:pPr>
        <w:numPr>
          <w:ilvl w:val="2"/>
          <w:numId w:val="2"/>
        </w:numPr>
        <w:spacing w:after="0" w:afterAutospacing="0" w:before="0" w:beforeAutospacing="0" w:line="276" w:lineRule="auto"/>
        <w:ind w:left="862" w:hanging="720"/>
        <w:jc w:val="both"/>
        <w:rPr>
          <w:rFonts w:ascii="Arial" w:cs="Arial" w:eastAsia="Arial" w:hAnsi="Arial"/>
          <w:sz w:val="22"/>
          <w:szCs w:val="22"/>
        </w:rPr>
      </w:pPr>
      <w:r w:rsidDel="00000000" w:rsidR="00000000" w:rsidRPr="00000000">
        <w:rPr>
          <w:rFonts w:ascii="Calibri" w:cs="Calibri" w:eastAsia="Calibri" w:hAnsi="Calibri"/>
          <w:sz w:val="22"/>
          <w:szCs w:val="22"/>
          <w:rtl w:val="0"/>
        </w:rPr>
        <w:t xml:space="preserve">Tendo em vista o Poder discricionário da Administração Pública, bem como o disposto no art. 14 do Decreto 10.024/2019, fora definido este modo de disputa vislumbrando atender ao princípio da vantajosidade, uma vez que este modo proporciona a escolha da proposta mais vantajosa à Administração Pública. </w:t>
      </w:r>
    </w:p>
    <w:p w:rsidR="00000000" w:rsidDel="00000000" w:rsidP="00000000" w:rsidRDefault="00000000" w:rsidRPr="00000000" w14:paraId="00000023">
      <w:pPr>
        <w:numPr>
          <w:ilvl w:val="1"/>
          <w:numId w:val="2"/>
        </w:numPr>
        <w:spacing w:after="0" w:afterAutospacing="0" w:before="0" w:beforeAutospacing="0" w:line="276" w:lineRule="auto"/>
        <w:ind w:left="360"/>
        <w:jc w:val="both"/>
        <w:rPr>
          <w:rFonts w:ascii="Arial" w:cs="Arial" w:eastAsia="Arial" w:hAnsi="Arial"/>
          <w:sz w:val="22"/>
          <w:szCs w:val="22"/>
        </w:rPr>
      </w:pPr>
      <w:r w:rsidDel="00000000" w:rsidR="00000000" w:rsidRPr="00000000">
        <w:rPr>
          <w:rFonts w:ascii="Calibri" w:cs="Calibri" w:eastAsia="Calibri" w:hAnsi="Calibri"/>
          <w:sz w:val="22"/>
          <w:szCs w:val="22"/>
          <w:rtl w:val="0"/>
        </w:rPr>
        <w:t xml:space="preserve">Pelo interesse da administração pública, os valores de referência não serão divulgados.</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tabs>
          <w:tab w:val="left" w:pos="284"/>
        </w:tabs>
        <w:spacing w:after="6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DOTAÇÃO ORÇAMENTÁRIA </w:t>
      </w:r>
    </w:p>
    <w:p w:rsidR="00000000" w:rsidDel="00000000" w:rsidP="00000000" w:rsidRDefault="00000000" w:rsidRPr="00000000" w14:paraId="0000002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despesas decorrentes da contratação do objeto deste Termo de Referência correrão à conta dos recursos específicos consignados no Orçamento dos Órgãos e Entidades do Município de Maceió participantes da Ata de Registro de Preços.</w:t>
      </w:r>
      <w:r w:rsidDel="00000000" w:rsidR="00000000" w:rsidRPr="00000000">
        <w:rPr>
          <w:rtl w:val="0"/>
        </w:rPr>
      </w:r>
    </w:p>
    <w:p w:rsidR="00000000" w:rsidDel="00000000" w:rsidP="00000000" w:rsidRDefault="00000000" w:rsidRPr="00000000" w14:paraId="0000002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Quando da contratação, para fazer face à despesa, será emitida Declaração do Ordenador da Despesa de que a mesma tem adequação orçamentária e financeira com a Lei de Responsabilidade Fiscal, com o Plano Plurianual e com a Lei de Diretrizes Orçamentárias, acompanhada da Nota de Empenho expedida pelo setor contábil do Órgão ou Entidade interessado.</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tabs>
          <w:tab w:val="left" w:pos="284"/>
        </w:tabs>
        <w:spacing w:after="6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DAS CONDIÇÕES DE FORNECIMENTO </w:t>
      </w:r>
    </w:p>
    <w:p w:rsidR="00000000" w:rsidDel="00000000" w:rsidP="00000000" w:rsidRDefault="00000000" w:rsidRPr="00000000" w14:paraId="0000002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Sempre que julgar necessário o Órgão Contratante solicitará, durante a vigência da ARP, o fornecimento dos produtos registrados na quantidade necessária, mediante a elaboração do instrumento contratual.</w:t>
      </w:r>
    </w:p>
    <w:p w:rsidR="00000000" w:rsidDel="00000000" w:rsidP="00000000" w:rsidRDefault="00000000" w:rsidRPr="00000000" w14:paraId="0000002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w:t>
      </w:r>
      <w:r w:rsidDel="00000000" w:rsidR="00000000" w:rsidRPr="00000000">
        <w:rPr>
          <w:rFonts w:ascii="Calibri" w:cs="Calibri" w:eastAsia="Calibri" w:hAnsi="Calibri"/>
          <w:sz w:val="22"/>
          <w:szCs w:val="22"/>
          <w:rtl w:val="0"/>
        </w:rPr>
        <w:t xml:space="preserve">ontratante não estará obrigada a adquirir os serviços registrados, contudo, ao fazê-lo,  cada participante solicitará individualmente um percentual mínimo de 1% (um por cento) do quantitativo que se encontra registrado para cada órgão.</w:t>
      </w:r>
      <w:r w:rsidDel="00000000" w:rsidR="00000000" w:rsidRPr="00000000">
        <w:rPr>
          <w:rtl w:val="0"/>
        </w:rPr>
      </w:r>
    </w:p>
    <w:p w:rsidR="00000000" w:rsidDel="00000000" w:rsidP="00000000" w:rsidRDefault="00000000" w:rsidRPr="00000000" w14:paraId="0000002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000000" w:rsidDel="00000000" w:rsidP="00000000" w:rsidRDefault="00000000" w:rsidRPr="00000000" w14:paraId="0000002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prazo previsto para entrega deverá ser de até 30 (trinta) dias, contados do recebimento da Nota de Empenho/Ordem de Fornecimento (via e-mail ou correios) ou retirado na sede da Contratante; </w:t>
      </w:r>
    </w:p>
    <w:p w:rsidR="00000000" w:rsidDel="00000000" w:rsidP="00000000" w:rsidRDefault="00000000" w:rsidRPr="00000000" w14:paraId="0000002D">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produtos deverão ser entregues ao servidor responsável pelo recebimento em cada Órgão ou Entidade do Município de Maceió, acompanhados da documentação fiscal, juntamente com cópia da Nota de Empenho/Ordem de Fornecimento, no horário das 08h00 às 14h00 de segunda-feira a sexta-feira.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tabs>
          <w:tab w:val="left" w:pos="284"/>
          <w:tab w:val="left" w:pos="567"/>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 RECEBIMENTO DO OBJETO</w:t>
      </w:r>
    </w:p>
    <w:p w:rsidR="00000000" w:rsidDel="00000000" w:rsidP="00000000" w:rsidRDefault="00000000" w:rsidRPr="00000000" w14:paraId="00000030">
      <w:pPr>
        <w:keepNext w:val="0"/>
        <w:keepLines w:val="0"/>
        <w:widowControl w:val="1"/>
        <w:numPr>
          <w:ilvl w:val="2"/>
          <w:numId w:val="5"/>
        </w:numPr>
        <w:pBdr>
          <w:top w:space="0" w:sz="0" w:val="nil"/>
          <w:left w:space="0" w:sz="0" w:val="nil"/>
          <w:bottom w:space="0" w:sz="0" w:val="nil"/>
          <w:right w:space="0" w:sz="0" w:val="nil"/>
          <w:between w:space="0" w:sz="0" w:val="nil"/>
        </w:pBdr>
        <w:shd w:fill="auto" w:val="clear"/>
        <w:tabs>
          <w:tab w:val="left" w:pos="284"/>
          <w:tab w:val="left" w:pos="851"/>
        </w:tabs>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objeto(s) serão recebidos pelo servidor responsável no ato da entrega:</w:t>
      </w:r>
    </w:p>
    <w:p w:rsidR="00000000" w:rsidDel="00000000" w:rsidP="00000000" w:rsidRDefault="00000000" w:rsidRPr="00000000" w14:paraId="00000031">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Provisoriamente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 ato da entrega, para efeito de posterior verificação da conformidade dos mesmos com as especificações requeridas neste documento; </w:t>
      </w:r>
    </w:p>
    <w:p w:rsidR="00000000" w:rsidDel="00000000" w:rsidP="00000000" w:rsidRDefault="00000000" w:rsidRPr="00000000" w14:paraId="00000032">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Definitivamente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após a verificação da qualidade e quantidade do material e consequente aceitação, no prazo de até 05 (cinco) dia úteis. Só então será atestada a nota fiscal. </w:t>
      </w:r>
    </w:p>
    <w:p w:rsidR="00000000" w:rsidDel="00000000" w:rsidP="00000000" w:rsidRDefault="00000000" w:rsidRPr="00000000" w14:paraId="0000003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Serão recusados os materiais que apresentarem defeitos ou cujas especificações não atendam às descrições do objeto contratado. </w:t>
      </w:r>
    </w:p>
    <w:p w:rsidR="00000000" w:rsidDel="00000000" w:rsidP="00000000" w:rsidRDefault="00000000" w:rsidRPr="00000000" w14:paraId="0000003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ato de recebimento dos materiais, não importa em sua aceitação. A critério da Contratante, os produtos fornecidos serão submetidos à verificação. Cabe a Contratada a substituição dos produtos que vierem a ser recusados, no prazo máximo de 10 (dez) dias úteis, contados da solicitação.</w:t>
      </w:r>
    </w:p>
    <w:p w:rsidR="00000000" w:rsidDel="00000000" w:rsidP="00000000" w:rsidRDefault="00000000" w:rsidRPr="00000000" w14:paraId="0000003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materiais deverão atender aos dispositivos da Lei nº 8.078/90 (Código de Defesa do Consumidor) e às demais legislação pertinentes.</w:t>
      </w:r>
    </w:p>
    <w:p w:rsidR="00000000" w:rsidDel="00000000" w:rsidP="00000000" w:rsidRDefault="00000000" w:rsidRPr="00000000" w14:paraId="0000003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materiais deverão ser acondicionados conforme praxe do fabricante devendo garantir proteção durante transporte e estocagem, constando a identificação do produto e demais informações exigidas na legislação em vigor.</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tabs>
          <w:tab w:val="left" w:pos="284"/>
          <w:tab w:val="left" w:pos="567"/>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HABILITAÇÃO </w:t>
      </w:r>
    </w:p>
    <w:p w:rsidR="00000000" w:rsidDel="00000000" w:rsidP="00000000" w:rsidRDefault="00000000" w:rsidRPr="00000000" w14:paraId="0000003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licitantes deverão apresentar no mínimo um atestado assinado e carimbado emitido por pessoa jurídica de direito público ou privado, que comprove que a mesma forneceu ou está fornecendo, de maneira satisfatória,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Crachás de Identificação Funcional.</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36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tabs>
          <w:tab w:val="left" w:pos="284"/>
        </w:tabs>
        <w:spacing w:after="5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DAS OBRIGAÇÕES</w:t>
      </w:r>
    </w:p>
    <w:p w:rsidR="00000000" w:rsidDel="00000000" w:rsidP="00000000" w:rsidRDefault="00000000" w:rsidRPr="00000000" w14:paraId="0000003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Contratada</w:t>
      </w:r>
    </w:p>
    <w:p w:rsidR="00000000" w:rsidDel="00000000" w:rsidP="00000000" w:rsidRDefault="00000000" w:rsidRPr="00000000" w14:paraId="0000003D">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Assinar a ARP em até 05 (cinco) dias contados da convocação para sua formalização pela Contratante.</w:t>
      </w:r>
    </w:p>
    <w:p w:rsidR="00000000" w:rsidDel="00000000" w:rsidP="00000000" w:rsidRDefault="00000000" w:rsidRPr="00000000" w14:paraId="0000003E">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Atender a todos os pedidos efetuados durante a vigência da Ata no limite do quantitativo registrado;</w:t>
      </w:r>
    </w:p>
    <w:p w:rsidR="00000000" w:rsidDel="00000000" w:rsidP="00000000" w:rsidRDefault="00000000" w:rsidRPr="00000000" w14:paraId="0000003F">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Entregar o objeto deste Termo de Referência nos endereços constante no anexo II deste documento, dentro do prazo estabelecido no item 6, mediante apresentação da Nota Fiscal devidamente preenchida, constando detalhadamente as informações necessárias, conforme proposta da empresa vencedora;</w:t>
      </w:r>
    </w:p>
    <w:p w:rsidR="00000000" w:rsidDel="00000000" w:rsidP="00000000" w:rsidRDefault="00000000" w:rsidRPr="00000000" w14:paraId="00000040">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Efetuar a entrega do objeto em perfeitas condições de uso, em estrita observância às especificações deste Termo de Referência;</w:t>
      </w:r>
    </w:p>
    <w:p w:rsidR="00000000" w:rsidDel="00000000" w:rsidP="00000000" w:rsidRDefault="00000000" w:rsidRPr="00000000" w14:paraId="00000041">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Comunicar à Administração, no prazo de 24 (vinte e quatro) horas que antecede a data da entrega, os motivos que impossibilitem o cumprimento do prazo previsto, com a devida comprovação;</w:t>
      </w:r>
    </w:p>
    <w:p w:rsidR="00000000" w:rsidDel="00000000" w:rsidP="00000000" w:rsidRDefault="00000000" w:rsidRPr="00000000" w14:paraId="00000042">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Entregar o objeto da contratação nas condições pactuadas neste documento;</w:t>
      </w:r>
    </w:p>
    <w:p w:rsidR="00000000" w:rsidDel="00000000" w:rsidP="00000000" w:rsidRDefault="00000000" w:rsidRPr="00000000" w14:paraId="00000043">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Providenciar a correção das deficiências, falhas ou irregularidades constatadas pela Contratante na entrega do objeto;</w:t>
      </w:r>
    </w:p>
    <w:p w:rsidR="00000000" w:rsidDel="00000000" w:rsidP="00000000" w:rsidRDefault="00000000" w:rsidRPr="00000000" w14:paraId="00000044">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Responder por danos causados diretamente à Contratante ou a terceiros, decorrentes de sua culpa ou dolo, quando da execução contratual;</w:t>
      </w:r>
    </w:p>
    <w:p w:rsidR="00000000" w:rsidDel="00000000" w:rsidP="00000000" w:rsidRDefault="00000000" w:rsidRPr="00000000" w14:paraId="00000045">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Acatar as orientações da Contratante, sujeitando-se a mais ampla e irrestrita fiscalização, prestando esclarecimentos solicitados e atendendo às reclamações formuladas;</w:t>
      </w:r>
    </w:p>
    <w:p w:rsidR="00000000" w:rsidDel="00000000" w:rsidP="00000000" w:rsidRDefault="00000000" w:rsidRPr="00000000" w14:paraId="00000046">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Manter todas as condições de habilitação aferidas no processo de contratação durante a execução contratual;</w:t>
      </w:r>
    </w:p>
    <w:p w:rsidR="00000000" w:rsidDel="00000000" w:rsidP="00000000" w:rsidRDefault="00000000" w:rsidRPr="00000000" w14:paraId="00000047">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Cumprir as demais disposições contidas neste Termo de Referência;</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5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Contratante:</w:t>
      </w:r>
    </w:p>
    <w:p w:rsidR="00000000" w:rsidDel="00000000" w:rsidP="00000000" w:rsidRDefault="00000000" w:rsidRPr="00000000" w14:paraId="0000004A">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Convocar a adjudicatária, dentro do prazo de eficácia de sua proposta, para assinatura da Ata;</w:t>
      </w:r>
    </w:p>
    <w:p w:rsidR="00000000" w:rsidDel="00000000" w:rsidP="00000000" w:rsidRDefault="00000000" w:rsidRPr="00000000" w14:paraId="0000004B">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Publicar o extrato da Ata na forma da Lei;</w:t>
      </w:r>
    </w:p>
    <w:p w:rsidR="00000000" w:rsidDel="00000000" w:rsidP="00000000" w:rsidRDefault="00000000" w:rsidRPr="00000000" w14:paraId="0000004C">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Emitir Nota de Empenho e/ou Ordem de Fornecimento;</w:t>
      </w:r>
    </w:p>
    <w:p w:rsidR="00000000" w:rsidDel="00000000" w:rsidP="00000000" w:rsidRDefault="00000000" w:rsidRPr="00000000" w14:paraId="0000004D">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Exigir o cumprimento de todas as obrigações assumidas pela empresa vencedora, de acordo como os termos deste documento;</w:t>
      </w:r>
    </w:p>
    <w:p w:rsidR="00000000" w:rsidDel="00000000" w:rsidP="00000000" w:rsidRDefault="00000000" w:rsidRPr="00000000" w14:paraId="0000004E">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Reservar local apropriado para o recebimento do objeto deste documento;</w:t>
      </w:r>
    </w:p>
    <w:p w:rsidR="00000000" w:rsidDel="00000000" w:rsidP="00000000" w:rsidRDefault="00000000" w:rsidRPr="00000000" w14:paraId="0000004F">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Ter pessoal disponível para o recebimento do objeto no horário previsto neste documento;</w:t>
      </w:r>
    </w:p>
    <w:p w:rsidR="00000000" w:rsidDel="00000000" w:rsidP="00000000" w:rsidRDefault="00000000" w:rsidRPr="00000000" w14:paraId="00000050">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Receber o objeto de acordo com as especificações descritas neste documento;</w:t>
      </w:r>
    </w:p>
    <w:p w:rsidR="00000000" w:rsidDel="00000000" w:rsidP="00000000" w:rsidRDefault="00000000" w:rsidRPr="00000000" w14:paraId="00000051">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Permitir o livre acesso dos empregados da empresa nas dependências da Contratante para entrega do objeto deste Termo de Referência, desde que uniformizados e identificados com crachá;</w:t>
      </w:r>
    </w:p>
    <w:p w:rsidR="00000000" w:rsidDel="00000000" w:rsidP="00000000" w:rsidRDefault="00000000" w:rsidRPr="00000000" w14:paraId="00000052">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Efetuar o pagamento nas condições e preço pactuado;</w:t>
      </w:r>
    </w:p>
    <w:p w:rsidR="00000000" w:rsidDel="00000000" w:rsidP="00000000" w:rsidRDefault="00000000" w:rsidRPr="00000000" w14:paraId="00000053">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Comunicar à Contratada, por escrito, sobre imperfeições, falhas ou irregularidades verificadas no objeto fornecido, para que seja substituído, reparado ou corrigido, sem prejuízo das penalidades cabíveis;</w:t>
      </w:r>
    </w:p>
    <w:p w:rsidR="00000000" w:rsidDel="00000000" w:rsidP="00000000" w:rsidRDefault="00000000" w:rsidRPr="00000000" w14:paraId="00000054">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Acompanhar a entrega do objeto, por intermédio de representante especialmente designado;</w:t>
      </w:r>
    </w:p>
    <w:p w:rsidR="00000000" w:rsidDel="00000000" w:rsidP="00000000" w:rsidRDefault="00000000" w:rsidRPr="00000000" w14:paraId="00000055">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Cumprir as demais disposições contidas neste Termo de Referência;</w:t>
      </w:r>
    </w:p>
    <w:p w:rsidR="00000000" w:rsidDel="00000000" w:rsidP="00000000" w:rsidRDefault="00000000" w:rsidRPr="00000000" w14:paraId="00000056">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Aplicar à Contratada as penalidades regulamentares contratuais.</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numPr>
          <w:ilvl w:val="0"/>
          <w:numId w:val="2"/>
        </w:numPr>
        <w:pBdr>
          <w:top w:space="0" w:sz="0" w:val="nil"/>
          <w:left w:space="0" w:sz="0" w:val="nil"/>
          <w:bottom w:color="000000" w:space="0" w:sz="4" w:val="single"/>
          <w:right w:space="0" w:sz="0" w:val="nil"/>
          <w:between w:space="0" w:sz="0" w:val="nil"/>
        </w:pBdr>
        <w:shd w:fill="auto" w:val="clear"/>
        <w:tabs>
          <w:tab w:val="left" w:pos="284"/>
        </w:tabs>
        <w:spacing w:after="6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 PAGAMENTO</w:t>
      </w:r>
    </w:p>
    <w:p w:rsidR="00000000" w:rsidDel="00000000" w:rsidP="00000000" w:rsidRDefault="00000000" w:rsidRPr="00000000" w14:paraId="0000005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6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000000" w:rsidDel="00000000" w:rsidP="00000000" w:rsidRDefault="00000000" w:rsidRPr="00000000" w14:paraId="0000005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6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Havendo erro na Fatura/Nota Fiscal/Recibo, ou outra circunstância que desaprove a liquidação, o pagamento será sustado, até que sejam tomadas as medidas saneadoras necessárias.</w:t>
      </w:r>
    </w:p>
    <w:p w:rsidR="00000000" w:rsidDel="00000000" w:rsidP="00000000" w:rsidRDefault="00000000" w:rsidRPr="00000000" w14:paraId="0000005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6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pagamentos podem ser realizados com recursos próprios e/ou com recursos de convênios.</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42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ATA DE REGISTRO DE PREÇOS</w:t>
      </w:r>
    </w:p>
    <w:p w:rsidR="00000000" w:rsidDel="00000000" w:rsidP="00000000" w:rsidRDefault="00000000" w:rsidRPr="00000000" w14:paraId="0000005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5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prazo de validade da ARP será de 12 (doze) meses, contados a partir da sua assinatura, tendo sua eficácia a partir da data de publicação do seu extrato no Diário Oficial do Município. </w:t>
      </w:r>
    </w:p>
    <w:p w:rsidR="00000000" w:rsidDel="00000000" w:rsidP="00000000" w:rsidRDefault="00000000" w:rsidRPr="00000000" w14:paraId="0000005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5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remanejamento somente ocorrerá entre os órgãos e entidades da Administração Pública Municipal de Maceió.</w:t>
      </w:r>
    </w:p>
    <w:p w:rsidR="00000000" w:rsidDel="00000000" w:rsidP="00000000" w:rsidRDefault="00000000" w:rsidRPr="00000000" w14:paraId="0000006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5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000000" w:rsidDel="00000000" w:rsidP="00000000" w:rsidRDefault="00000000" w:rsidRPr="00000000" w14:paraId="0000006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5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remanejamento de que trata o item 11.3 somente poderá ser feito de órgão participante para órgão participante e de órgão participante para órgão não participante.</w:t>
      </w:r>
    </w:p>
    <w:p w:rsidR="00000000" w:rsidDel="00000000" w:rsidP="00000000" w:rsidRDefault="00000000" w:rsidRPr="00000000" w14:paraId="0000006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5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caso de remanejamento de órgão participante para órgão não participante, devem ser observados os limites previstos nos § 3º do art. 22 do Decreto nº 7.492, de 11 de Abril de 2013. </w:t>
      </w:r>
    </w:p>
    <w:p w:rsidR="00000000" w:rsidDel="00000000" w:rsidP="00000000" w:rsidRDefault="00000000" w:rsidRPr="00000000" w14:paraId="0000006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5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gestão da ARP caberá à Agência Municipal de Regulação de Serviços Delegados – ARSER, situada na Rua Eng. Roberto Gonçalves Menezes, 71, Centro, Maceió-AL, CEP 57020-680.</w:t>
      </w:r>
    </w:p>
    <w:p w:rsidR="00000000" w:rsidDel="00000000" w:rsidP="00000000" w:rsidRDefault="00000000" w:rsidRPr="00000000" w14:paraId="0000006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5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 para registro no SICAF.</w:t>
      </w:r>
    </w:p>
    <w:p w:rsidR="00000000" w:rsidDel="00000000" w:rsidP="00000000" w:rsidRDefault="00000000" w:rsidRPr="00000000" w14:paraId="0000006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5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Caberá ao Gerenciador da Ata realizar, periodicamente, pesquisa de mercado para comprovação da vantajosidade dos preços registrados.</w:t>
      </w:r>
    </w:p>
    <w:p w:rsidR="00000000" w:rsidDel="00000000" w:rsidP="00000000" w:rsidRDefault="00000000" w:rsidRPr="00000000" w14:paraId="0000006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5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efeito do disposto no subitem 11.3, caberá ao Órgão Gerenciador autorizar o remanejamento solicitado, com a redução do quantitativo inicialmente informado pelo Órgão Participante, desde que haja prévia anuência do Órgão que vier a sofre redução dos quantitativos informados.</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5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tabs>
          <w:tab w:val="left" w:pos="284"/>
        </w:tabs>
        <w:spacing w:after="5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CONTRATAÇÃO</w:t>
      </w:r>
    </w:p>
    <w:p w:rsidR="00000000" w:rsidDel="00000000" w:rsidP="00000000" w:rsidRDefault="00000000" w:rsidRPr="00000000" w14:paraId="0000006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5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termo de contrato será substituído por Nota de Empenho e/ou por Ordem de Fornecimento.</w:t>
      </w:r>
    </w:p>
    <w:p w:rsidR="00000000" w:rsidDel="00000000" w:rsidP="00000000" w:rsidRDefault="00000000" w:rsidRPr="00000000" w14:paraId="0000006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5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prazo para a licitante vencedora aceitar ou retirar a Nota de Empenho e /ou por Ordem de Fornecimento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000000" w:rsidDel="00000000" w:rsidP="00000000" w:rsidRDefault="00000000" w:rsidRPr="00000000" w14:paraId="0000006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5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subsequentes e a qualificação das licitantes, na ordem de classificação, e assim sucessivamente, até a apuração de uma que atenda ao edital, sendo esta declarada vencedora.</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5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tabs>
          <w:tab w:val="left" w:pos="284"/>
        </w:tabs>
        <w:spacing w:after="5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FISCALIZAÇÃO / ACOMPANHAMENTO DO FORNECIMENTO</w:t>
      </w:r>
    </w:p>
    <w:p w:rsidR="00000000" w:rsidDel="00000000" w:rsidP="00000000" w:rsidRDefault="00000000" w:rsidRPr="00000000" w14:paraId="0000006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5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contratação será acompanhada por servidor a ser designado pelo Gestor da Pasta.</w:t>
      </w:r>
      <w:r w:rsidDel="00000000" w:rsidR="00000000" w:rsidRPr="00000000">
        <w:rPr>
          <w:rtl w:val="0"/>
        </w:rPr>
      </w:r>
    </w:p>
    <w:p w:rsidR="00000000" w:rsidDel="00000000" w:rsidP="00000000" w:rsidRDefault="00000000" w:rsidRPr="00000000" w14:paraId="0000006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5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fiscal da contratação terá, entre outras, as seguintes atribuições: </w:t>
      </w:r>
    </w:p>
    <w:p w:rsidR="00000000" w:rsidDel="00000000" w:rsidP="00000000" w:rsidRDefault="00000000" w:rsidRPr="00000000" w14:paraId="00000070">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Expedir ordens de fornecimento; </w:t>
      </w:r>
    </w:p>
    <w:p w:rsidR="00000000" w:rsidDel="00000000" w:rsidP="00000000" w:rsidRDefault="00000000" w:rsidRPr="00000000" w14:paraId="00000071">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Proceder ao acompanhamento da entrega do objeto quanto à qualidade e quantidade desejada; </w:t>
      </w:r>
    </w:p>
    <w:p w:rsidR="00000000" w:rsidDel="00000000" w:rsidP="00000000" w:rsidRDefault="00000000" w:rsidRPr="00000000" w14:paraId="00000072">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Comunicar à Contratada o descumprimento da contratação e indicar os procedimentos necessários ao seu correto cumprimento; </w:t>
      </w:r>
    </w:p>
    <w:p w:rsidR="00000000" w:rsidDel="00000000" w:rsidP="00000000" w:rsidRDefault="00000000" w:rsidRPr="00000000" w14:paraId="00000073">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Solicitar à Administração a aplicação de penalidades por descumprimento das obrigações assumidas; </w:t>
      </w:r>
    </w:p>
    <w:p w:rsidR="00000000" w:rsidDel="00000000" w:rsidP="00000000" w:rsidRDefault="00000000" w:rsidRPr="00000000" w14:paraId="00000074">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Fornecer atestados de capacidade técnica quando solicitado, desde que atendidas às obrigações assumidas; </w:t>
      </w:r>
    </w:p>
    <w:p w:rsidR="00000000" w:rsidDel="00000000" w:rsidP="00000000" w:rsidRDefault="00000000" w:rsidRPr="00000000" w14:paraId="00000075">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Atestar as notas fiscais relativas à entrega do objeto para efeito de pagamentos; </w:t>
      </w:r>
    </w:p>
    <w:p w:rsidR="00000000" w:rsidDel="00000000" w:rsidP="00000000" w:rsidRDefault="00000000" w:rsidRPr="00000000" w14:paraId="00000076">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Recusar o objeto que for entregue fora das especificações contidas neste Termo ou que forem entregues em quantidades divergentes daquelas constantes na ordem de fornecimento;</w:t>
      </w:r>
    </w:p>
    <w:p w:rsidR="00000000" w:rsidDel="00000000" w:rsidP="00000000" w:rsidRDefault="00000000" w:rsidRPr="00000000" w14:paraId="00000077">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Solicitar à Contratada e a seu preposto todas as providências necessárias ao bom e fiel cumprimento das obrigações.</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tabs>
          <w:tab w:val="left" w:pos="284"/>
        </w:tabs>
        <w:spacing w:after="5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 REAJUSTE, DOS ACRÉSCIMOS OU SUPRESSÕES</w:t>
      </w:r>
    </w:p>
    <w:p w:rsidR="00000000" w:rsidDel="00000000" w:rsidP="00000000" w:rsidRDefault="00000000" w:rsidRPr="00000000" w14:paraId="0000007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5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Fica proibido o reajuste do valor durante a vigência da Ata</w:t>
      </w:r>
    </w:p>
    <w:p w:rsidR="00000000" w:rsidDel="00000000" w:rsidP="00000000" w:rsidRDefault="00000000" w:rsidRPr="00000000" w14:paraId="0000007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5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Após o período mencionado no “caput”, será admitido o reajuste, utilizando-se como base o IPCA (Índice de Preços ao Consumidor Amplo).</w:t>
      </w:r>
    </w:p>
    <w:p w:rsidR="00000000" w:rsidDel="00000000" w:rsidP="00000000" w:rsidRDefault="00000000" w:rsidRPr="00000000" w14:paraId="0000007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5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Pode ocorrer a revisão da ata, tencionando o reequilíbrio econômico financeiro, desde que haja incidência de fato imprevisível e devidamente justificado, conforme art. 37, XXI, DA CF/88, arts. 57,§§ 1º e 2º, 65, II, “d” e § 6º, todos da Lei n.8666/93 e arts. 17/19 do Decreto Municipal nº 7.496/2013.</w:t>
      </w:r>
    </w:p>
    <w:p w:rsidR="00000000" w:rsidDel="00000000" w:rsidP="00000000" w:rsidRDefault="00000000" w:rsidRPr="00000000" w14:paraId="0000007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5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revisão deverá incidir a partir da data em que for protocolado, com fundamento no item anterior, o pedido da contratada.</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5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tabs>
          <w:tab w:val="left" w:pos="284"/>
        </w:tabs>
        <w:spacing w:after="5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DAS SANÇÕES</w:t>
      </w:r>
    </w:p>
    <w:p w:rsidR="00000000" w:rsidDel="00000000" w:rsidP="00000000" w:rsidRDefault="00000000" w:rsidRPr="00000000" w14:paraId="0000008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5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 caso de inexecução parcial ou total das condições pactuadas, erro ou demora na execução do Contratual, garantida a prévia defesa, ficará a Contratada sujeita às sanções indicadas abaixo, sem prejuízo de outras previstas na legislação vigente:</w:t>
      </w:r>
      <w:r w:rsidDel="00000000" w:rsidR="00000000" w:rsidRPr="00000000">
        <w:rPr>
          <w:rtl w:val="0"/>
        </w:rPr>
      </w:r>
    </w:p>
    <w:p w:rsidR="00000000" w:rsidDel="00000000" w:rsidP="00000000" w:rsidRDefault="00000000" w:rsidRPr="00000000" w14:paraId="00000081">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5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Advertência formal: falhas ou irregularidades que não acarretem prejuízos à Administração;</w:t>
      </w:r>
    </w:p>
    <w:p w:rsidR="00000000" w:rsidDel="00000000" w:rsidP="00000000" w:rsidRDefault="00000000" w:rsidRPr="00000000" w14:paraId="00000082">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5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Pelo atraso na entrega do produto em relação ao prazo estipulado: 1% (um por cento) do valor do produto não entregue, por dia decorrido, até o limite de 10% (dez por cento);</w:t>
      </w:r>
    </w:p>
    <w:p w:rsidR="00000000" w:rsidDel="00000000" w:rsidP="00000000" w:rsidRDefault="00000000" w:rsidRPr="00000000" w14:paraId="00000083">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5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Pela recusa em efetuar o fornecimento e/ou pela não entrega do produto, caracterizada em dez dias após o vencimento do prazo de entrega estipulado: 10% (dez por cento) do valor do </w:t>
      </w:r>
      <w:r w:rsidDel="00000000" w:rsidR="00000000" w:rsidRPr="00000000">
        <w:rPr>
          <w:rFonts w:ascii="Calibri" w:cs="Calibri" w:eastAsia="Calibri" w:hAnsi="Calibri"/>
          <w:sz w:val="22"/>
          <w:szCs w:val="22"/>
          <w:rtl w:val="0"/>
        </w:rPr>
        <w:t xml:space="preserve">pedido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4">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5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Pela demora em substituir o produto rejeitado, a contar do primeiro dia após o vencimento do prazo estipulado para a substituição: 2% (dois por cento) do valor do produto recusado, por dia decorrido, até o limite de 10% (dez por cento);</w:t>
      </w:r>
    </w:p>
    <w:p w:rsidR="00000000" w:rsidDel="00000000" w:rsidP="00000000" w:rsidRDefault="00000000" w:rsidRPr="00000000" w14:paraId="00000085">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5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Pelo não cumprimento de qualquer condição fixada neste Termo de Referência e não abrangida nas alíneas anteriores: 1% (um por cento) do valor contratado, para cada evento;</w:t>
      </w:r>
    </w:p>
    <w:p w:rsidR="00000000" w:rsidDel="00000000" w:rsidP="00000000" w:rsidRDefault="00000000" w:rsidRPr="00000000" w14:paraId="00000086">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5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Suspensão temporária, pelo período de até 02 (dois) anos, de participação em licitação e contratação com o Município de Maceió;</w:t>
      </w:r>
    </w:p>
    <w:p w:rsidR="00000000" w:rsidDel="00000000" w:rsidP="00000000" w:rsidRDefault="00000000" w:rsidRPr="00000000" w14:paraId="00000087">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5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Declaração de inidoneidade, que o impede de participar de licitações, bem como de contratar com a Administração Pública pelo prazo de até cinco anos. </w:t>
      </w:r>
    </w:p>
    <w:p w:rsidR="00000000" w:rsidDel="00000000" w:rsidP="00000000" w:rsidRDefault="00000000" w:rsidRPr="00000000" w14:paraId="0000008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5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 ocorrência de falhas ou irregularidades diferentes daquelas indicadas no item anterior, a Administração poderá aplicar à futura Contratada quaisquer das sanções listadas no item 15.1, consideradas a natureza e a gravidade da infração cometida e sem prejuízo da responsabilidade civil e criminal que seus atos ensejarem.</w:t>
      </w:r>
    </w:p>
    <w:p w:rsidR="00000000" w:rsidDel="00000000" w:rsidP="00000000" w:rsidRDefault="00000000" w:rsidRPr="00000000" w14:paraId="0000008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5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critério da Contratante e nos termos do art. 87, § 2º, da Lei nº 8.666/93, as sanções previstas nas alíneas “f” e “g” poderão ser aplicadas cumulativamente com quaisquer das multas previstas nas alíneas “b” a “e”.</w:t>
      </w:r>
    </w:p>
    <w:p w:rsidR="00000000" w:rsidDel="00000000" w:rsidP="00000000" w:rsidRDefault="00000000" w:rsidRPr="00000000" w14:paraId="0000008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5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multas previstas, caso sejam aplicadas, serão descontadas por ocasião de pagamentos futuros ou serão pagas por meio de Documento de Arrecadação Municipal (DAM) pela futura Contratada no prazo que o despacho de sua aplicação determinar.</w:t>
      </w:r>
    </w:p>
    <w:p w:rsidR="00000000" w:rsidDel="00000000" w:rsidP="00000000" w:rsidRDefault="00000000" w:rsidRPr="00000000" w14:paraId="0000008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5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sanções fixadas serão aplicadas nos autos do processo de gestão contratual, no qual será assegurado à futura contratada o contraditório e a ampla defesa.</w:t>
      </w:r>
    </w:p>
    <w:p w:rsidR="00000000" w:rsidDel="00000000" w:rsidP="00000000" w:rsidRDefault="00000000" w:rsidRPr="00000000" w14:paraId="0000008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5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atraso, para efeito de cálculo de multa, será contado em dias corridos, a partir do dia seguinte ao do vencimento do prazo de entrega dos produtos, se dia de expediente normal no órgão ou entidade interessada, ou do primeiro dia útil seguinte.</w:t>
      </w:r>
    </w:p>
    <w:p w:rsidR="00000000" w:rsidDel="00000000" w:rsidP="00000000" w:rsidRDefault="00000000" w:rsidRPr="00000000" w14:paraId="0000008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5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Decorridos 30 (trinta) dias de atraso injustificado na entrega dos produtos, a Nota de Empenho deverá ser cancelada ou rescindido, exceto se houver justificado interesse público em manter a avença, hipótese em que será aplicada multa.</w:t>
      </w:r>
    </w:p>
    <w:p w:rsidR="00000000" w:rsidDel="00000000" w:rsidP="00000000" w:rsidRDefault="00000000" w:rsidRPr="00000000" w14:paraId="0000008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5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suspensão e o impedimento são sanções administrativas que temporariamente obstam a participação em licitação e a contratação, sendo aplicadas nos seguintes prazos e hipóteses:</w:t>
      </w:r>
    </w:p>
    <w:p w:rsidR="00000000" w:rsidDel="00000000" w:rsidP="00000000" w:rsidRDefault="00000000" w:rsidRPr="00000000" w14:paraId="0000008F">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5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até 30 (trinta) dias, quando, vencido o prazo da Advertência, a Contratada permanecer inadimplente;</w:t>
      </w:r>
    </w:p>
    <w:p w:rsidR="00000000" w:rsidDel="00000000" w:rsidP="00000000" w:rsidRDefault="00000000" w:rsidRPr="00000000" w14:paraId="00000090">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5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até 01 (um) ano, quando a Contratada falhar ou fraudar na execução do contratual, comportar-se de modo inidôneo, fizer declaração falsa ou cometer fraude fiscal; e</w:t>
      </w:r>
    </w:p>
    <w:p w:rsidR="00000000" w:rsidDel="00000000" w:rsidP="00000000" w:rsidRDefault="00000000" w:rsidRPr="00000000" w14:paraId="00000091">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5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até 02 (dois) anos, quando a Contratada:</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c.1) Praticar atos ilegais ou imorais visando frustrar os objetivos da contratação; ou</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c.2) For multada, e não efetuar o pagamento.</w:t>
      </w:r>
    </w:p>
    <w:p w:rsidR="00000000" w:rsidDel="00000000" w:rsidP="00000000" w:rsidRDefault="00000000" w:rsidRPr="00000000" w14:paraId="0000009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5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prazo previsto no item 15.8, alínea “c”, poderá ser aumentado em até 5 (cinco) anos.</w:t>
      </w:r>
    </w:p>
    <w:p w:rsidR="00000000" w:rsidDel="00000000" w:rsidP="00000000" w:rsidRDefault="00000000" w:rsidRPr="00000000" w14:paraId="0000009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5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000000" w:rsidDel="00000000" w:rsidP="00000000" w:rsidRDefault="00000000" w:rsidRPr="00000000" w14:paraId="0000009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5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declaração de inidoneidade para licitar ou contratar será aplicada à vista dos motivos informados na instrução processual, podendo a reabilitação ser requerida após 2 (dois) anos de sua aplicação.</w:t>
      </w:r>
    </w:p>
    <w:p w:rsidR="00000000" w:rsidDel="00000000" w:rsidP="00000000" w:rsidRDefault="00000000" w:rsidRPr="00000000" w14:paraId="0000009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5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000000" w:rsidDel="00000000" w:rsidP="00000000" w:rsidRDefault="00000000" w:rsidRPr="00000000" w14:paraId="00000098">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142"/>
          <w:tab w:val="left" w:pos="426"/>
        </w:tabs>
        <w:spacing w:after="50" w:before="0" w:line="240" w:lineRule="auto"/>
        <w:ind w:left="360"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sanções administrativas serão registradas no SICAF. </w:t>
      </w:r>
    </w:p>
    <w:p w:rsidR="00000000" w:rsidDel="00000000" w:rsidP="00000000" w:rsidRDefault="00000000" w:rsidRPr="00000000" w14:paraId="00000099">
      <w:pPr>
        <w:numPr>
          <w:ilvl w:val="0"/>
          <w:numId w:val="2"/>
        </w:numPr>
        <w:pBdr>
          <w:bottom w:color="000000" w:space="1" w:sz="4" w:val="single"/>
        </w:pBdr>
        <w:tabs>
          <w:tab w:val="left" w:pos="284"/>
        </w:tabs>
        <w:ind w:left="36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DISPOSIÇÕES GERAIS/INFORMAÇÕES COMPLEMENTARES</w:t>
      </w:r>
    </w:p>
    <w:p w:rsidR="00000000" w:rsidDel="00000000" w:rsidP="00000000" w:rsidRDefault="00000000" w:rsidRPr="00000000" w14:paraId="0000009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Setor Técnico competente auxiliará o pregoeiro nos casos de pedidos de esclarecimentos, impugnações e análise de propostas.</w:t>
      </w:r>
    </w:p>
    <w:p w:rsidR="00000000" w:rsidDel="00000000" w:rsidP="00000000" w:rsidRDefault="00000000" w:rsidRPr="00000000" w14:paraId="0000009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Eventuais pedidos de informações/esclarecimentos deverão ser encaminhados a Agência Municipal de Regulação de Serviços Delegados - ARSER, através do email: gerencia.planejamento@arser.maceio.al.gov.br, telefone para contato (82)</w:t>
      </w:r>
      <w:r w:rsidDel="00000000" w:rsidR="00000000" w:rsidRPr="00000000">
        <w:rPr>
          <w:rFonts w:ascii="Calibri" w:cs="Calibri" w:eastAsia="Calibri" w:hAnsi="Calibri"/>
          <w:sz w:val="22"/>
          <w:szCs w:val="22"/>
          <w:rtl w:val="0"/>
        </w:rPr>
        <w:t xml:space="preserve">3312-5100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C">
      <w:pPr>
        <w:tabs>
          <w:tab w:val="left" w:pos="284"/>
        </w:tabs>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D">
      <w:pPr>
        <w:tabs>
          <w:tab w:val="left" w:pos="284"/>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Maceió, 16 de abril de 2020</w:t>
      </w:r>
    </w:p>
    <w:p w:rsidR="00000000" w:rsidDel="00000000" w:rsidP="00000000" w:rsidRDefault="00000000" w:rsidRPr="00000000" w14:paraId="0000009E">
      <w:pPr>
        <w:tabs>
          <w:tab w:val="left" w:pos="5510"/>
        </w:tabs>
        <w:ind w:left="28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09F">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Diego Passos Lima</w:t>
      </w:r>
    </w:p>
    <w:p w:rsidR="00000000" w:rsidDel="00000000" w:rsidP="00000000" w:rsidRDefault="00000000" w:rsidRPr="00000000" w14:paraId="000000A0">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Gerente de Planejamento e Contratações</w:t>
      </w:r>
    </w:p>
    <w:p w:rsidR="00000000" w:rsidDel="00000000" w:rsidP="00000000" w:rsidRDefault="00000000" w:rsidRPr="00000000" w14:paraId="000000A1">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2">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3">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ANEXO I- DESCRIÇÃO DOS PRODUTOS E QUANTITATIVOS</w:t>
      </w:r>
    </w:p>
    <w:p w:rsidR="00000000" w:rsidDel="00000000" w:rsidP="00000000" w:rsidRDefault="00000000" w:rsidRPr="00000000" w14:paraId="000000A4">
      <w:pPr>
        <w:tabs>
          <w:tab w:val="left" w:pos="284"/>
        </w:tabs>
        <w:spacing w:before="12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OBJETO: </w:t>
      </w:r>
      <w:r w:rsidDel="00000000" w:rsidR="00000000" w:rsidRPr="00000000">
        <w:rPr>
          <w:rFonts w:ascii="Calibri" w:cs="Calibri" w:eastAsia="Calibri" w:hAnsi="Calibri"/>
          <w:sz w:val="22"/>
          <w:szCs w:val="22"/>
          <w:rtl w:val="0"/>
        </w:rPr>
        <w:t xml:space="preserve">O objeto perfaz registrar preços para aquisição de </w:t>
      </w:r>
      <w:r w:rsidDel="00000000" w:rsidR="00000000" w:rsidRPr="00000000">
        <w:rPr>
          <w:rFonts w:ascii="Calibri" w:cs="Calibri" w:eastAsia="Calibri" w:hAnsi="Calibri"/>
          <w:b w:val="1"/>
          <w:sz w:val="22"/>
          <w:szCs w:val="22"/>
          <w:rtl w:val="0"/>
        </w:rPr>
        <w:t xml:space="preserve">Crachás de identificação funcional</w:t>
      </w:r>
      <w:r w:rsidDel="00000000" w:rsidR="00000000" w:rsidRPr="00000000">
        <w:rPr>
          <w:rFonts w:ascii="Calibri" w:cs="Calibri" w:eastAsia="Calibri" w:hAnsi="Calibri"/>
          <w:sz w:val="22"/>
          <w:szCs w:val="22"/>
          <w:rtl w:val="0"/>
        </w:rPr>
        <w:t xml:space="preserve">, para atendimento aos diversos Órgãos e Entidades da Administração Pública do Município de Maceió, nas especificações e quantidades constantes abaixo:</w:t>
      </w:r>
    </w:p>
    <w:p w:rsidR="00000000" w:rsidDel="00000000" w:rsidP="00000000" w:rsidRDefault="00000000" w:rsidRPr="00000000" w14:paraId="000000A5">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6">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7">
      <w:pPr>
        <w:widowControl w:val="0"/>
        <w:rPr>
          <w:rFonts w:ascii="Calibri" w:cs="Calibri" w:eastAsia="Calibri" w:hAnsi="Calibri"/>
          <w:b w:val="1"/>
          <w:sz w:val="22"/>
          <w:szCs w:val="22"/>
        </w:rPr>
      </w:pPr>
      <w:r w:rsidDel="00000000" w:rsidR="00000000" w:rsidRPr="00000000">
        <w:rPr>
          <w:rtl w:val="0"/>
        </w:rPr>
      </w:r>
    </w:p>
    <w:tbl>
      <w:tblPr>
        <w:tblStyle w:val="Table1"/>
        <w:tblW w:w="90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5384"/>
        <w:gridCol w:w="1420"/>
        <w:gridCol w:w="1420"/>
        <w:tblGridChange w:id="0">
          <w:tblGrid>
            <w:gridCol w:w="846"/>
            <w:gridCol w:w="5384"/>
            <w:gridCol w:w="1420"/>
            <w:gridCol w:w="1420"/>
          </w:tblGrid>
        </w:tblGridChange>
      </w:tblGrid>
      <w:tr>
        <w:tc>
          <w:tcPr/>
          <w:p w:rsidR="00000000" w:rsidDel="00000000" w:rsidP="00000000" w:rsidRDefault="00000000" w:rsidRPr="00000000" w14:paraId="000000A8">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Item</w:t>
            </w:r>
          </w:p>
        </w:tc>
        <w:tc>
          <w:tcPr/>
          <w:p w:rsidR="00000000" w:rsidDel="00000000" w:rsidP="00000000" w:rsidRDefault="00000000" w:rsidRPr="00000000" w14:paraId="000000A9">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Descrição</w:t>
            </w:r>
          </w:p>
        </w:tc>
        <w:tc>
          <w:tcPr/>
          <w:p w:rsidR="00000000" w:rsidDel="00000000" w:rsidP="00000000" w:rsidRDefault="00000000" w:rsidRPr="00000000" w14:paraId="000000AA">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Unidade de medida</w:t>
            </w:r>
          </w:p>
        </w:tc>
        <w:tc>
          <w:tcPr/>
          <w:p w:rsidR="00000000" w:rsidDel="00000000" w:rsidP="00000000" w:rsidRDefault="00000000" w:rsidRPr="00000000" w14:paraId="000000AB">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Quantidade</w:t>
            </w:r>
          </w:p>
        </w:tc>
      </w:tr>
      <w:tr>
        <w:tc>
          <w:tcPr/>
          <w:p w:rsidR="00000000" w:rsidDel="00000000" w:rsidP="00000000" w:rsidRDefault="00000000" w:rsidRPr="00000000" w14:paraId="000000AC">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p w:rsidR="00000000" w:rsidDel="00000000" w:rsidP="00000000" w:rsidRDefault="00000000" w:rsidRPr="00000000" w14:paraId="000000AD">
            <w:pPr>
              <w:widowControl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Crachás personalizados de Identificação Funcional, </w:t>
            </w:r>
            <w:r w:rsidDel="00000000" w:rsidR="00000000" w:rsidRPr="00000000">
              <w:rPr>
                <w:rFonts w:ascii="Calibri" w:cs="Calibri" w:eastAsia="Calibri" w:hAnsi="Calibri"/>
                <w:sz w:val="22"/>
                <w:szCs w:val="22"/>
                <w:rtl w:val="0"/>
              </w:rPr>
              <w:t xml:space="preserve">confeccionado em PVC, colorido, medidas aproximadas 54x86mm, personalização a saber, apresentação vertical.</w:t>
            </w:r>
          </w:p>
          <w:p w:rsidR="00000000" w:rsidDel="00000000" w:rsidP="00000000" w:rsidRDefault="00000000" w:rsidRPr="00000000" w14:paraId="000000AE">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Frente: Foto digitalizada do servidor, nome e cargo; brasão do município e identificação do órgão.</w:t>
            </w:r>
          </w:p>
          <w:p w:rsidR="00000000" w:rsidDel="00000000" w:rsidP="00000000" w:rsidRDefault="00000000" w:rsidRPr="00000000" w14:paraId="000000AF">
            <w:pPr>
              <w:widowControl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Catmat: </w:t>
            </w:r>
            <w:r w:rsidDel="00000000" w:rsidR="00000000" w:rsidRPr="00000000">
              <w:rPr>
                <w:rFonts w:ascii="Raleway" w:cs="Raleway" w:eastAsia="Raleway" w:hAnsi="Raleway"/>
                <w:b w:val="1"/>
                <w:color w:val="55774c"/>
                <w:sz w:val="19"/>
                <w:szCs w:val="19"/>
                <w:highlight w:val="white"/>
                <w:rtl w:val="0"/>
              </w:rPr>
              <w:t xml:space="preserve">150788</w:t>
            </w:r>
            <w:r w:rsidDel="00000000" w:rsidR="00000000" w:rsidRPr="00000000">
              <w:rPr>
                <w:rtl w:val="0"/>
              </w:rPr>
            </w:r>
          </w:p>
        </w:tc>
        <w:tc>
          <w:tcPr/>
          <w:p w:rsidR="00000000" w:rsidDel="00000000" w:rsidP="00000000" w:rsidRDefault="00000000" w:rsidRPr="00000000" w14:paraId="000000B0">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und</w:t>
            </w:r>
          </w:p>
        </w:tc>
        <w:tc>
          <w:tcPr/>
          <w:p w:rsidR="00000000" w:rsidDel="00000000" w:rsidP="00000000" w:rsidRDefault="00000000" w:rsidRPr="00000000" w14:paraId="000000B1">
            <w:pPr>
              <w:widowControl w:val="0"/>
              <w:jc w:val="center"/>
              <w:rPr>
                <w:rFonts w:ascii="Calibri" w:cs="Calibri" w:eastAsia="Calibri" w:hAnsi="Calibri"/>
                <w:b w:val="1"/>
                <w:sz w:val="22"/>
                <w:szCs w:val="22"/>
              </w:rPr>
            </w:pPr>
            <w:r w:rsidDel="00000000" w:rsidR="00000000" w:rsidRPr="00000000">
              <w:rPr>
                <w:rtl w:val="0"/>
              </w:rPr>
            </w:r>
          </w:p>
        </w:tc>
      </w:tr>
      <w:tr>
        <w:tc>
          <w:tcPr/>
          <w:p w:rsidR="00000000" w:rsidDel="00000000" w:rsidP="00000000" w:rsidRDefault="00000000" w:rsidRPr="00000000" w14:paraId="000000B2">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p w:rsidR="00000000" w:rsidDel="00000000" w:rsidP="00000000" w:rsidRDefault="00000000" w:rsidRPr="00000000" w14:paraId="000000B3">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Crachás Personalizados de Identificação de Visitantes;</w:t>
            </w:r>
          </w:p>
          <w:p w:rsidR="00000000" w:rsidDel="00000000" w:rsidP="00000000" w:rsidRDefault="00000000" w:rsidRPr="00000000" w14:paraId="000000B4">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confeccionado em PVC, colorido, medidas aproximadas 54x86mm, personalização a saber, apresentação vertical.</w:t>
            </w:r>
          </w:p>
          <w:p w:rsidR="00000000" w:rsidDel="00000000" w:rsidP="00000000" w:rsidRDefault="00000000" w:rsidRPr="00000000" w14:paraId="000000B5">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Frente: Título “VISITANTE”, identificação numérica; brasão do município e identificação do órgão.</w:t>
            </w:r>
          </w:p>
          <w:p w:rsidR="00000000" w:rsidDel="00000000" w:rsidP="00000000" w:rsidRDefault="00000000" w:rsidRPr="00000000" w14:paraId="000000B6">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Verso: Demais números de identificação sequencial e informações sobre o bom uso do item.</w:t>
            </w:r>
          </w:p>
          <w:p w:rsidR="00000000" w:rsidDel="00000000" w:rsidP="00000000" w:rsidRDefault="00000000" w:rsidRPr="00000000" w14:paraId="000000B7">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Catmat: </w:t>
            </w:r>
            <w:r w:rsidDel="00000000" w:rsidR="00000000" w:rsidRPr="00000000">
              <w:rPr>
                <w:rFonts w:ascii="Raleway" w:cs="Raleway" w:eastAsia="Raleway" w:hAnsi="Raleway"/>
                <w:b w:val="1"/>
                <w:color w:val="55774c"/>
                <w:sz w:val="19"/>
                <w:szCs w:val="19"/>
                <w:highlight w:val="white"/>
                <w:rtl w:val="0"/>
              </w:rPr>
              <w:t xml:space="preserve">150788</w:t>
            </w:r>
            <w:r w:rsidDel="00000000" w:rsidR="00000000" w:rsidRPr="00000000">
              <w:rPr>
                <w:rtl w:val="0"/>
              </w:rPr>
            </w:r>
          </w:p>
        </w:tc>
        <w:tc>
          <w:tcPr/>
          <w:p w:rsidR="00000000" w:rsidDel="00000000" w:rsidP="00000000" w:rsidRDefault="00000000" w:rsidRPr="00000000" w14:paraId="000000B8">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und</w:t>
            </w:r>
          </w:p>
        </w:tc>
        <w:tc>
          <w:tcPr/>
          <w:p w:rsidR="00000000" w:rsidDel="00000000" w:rsidP="00000000" w:rsidRDefault="00000000" w:rsidRPr="00000000" w14:paraId="000000B9">
            <w:pPr>
              <w:widowControl w:val="0"/>
              <w:jc w:val="center"/>
              <w:rPr>
                <w:rFonts w:ascii="Calibri" w:cs="Calibri" w:eastAsia="Calibri" w:hAnsi="Calibri"/>
                <w:b w:val="1"/>
                <w:sz w:val="22"/>
                <w:szCs w:val="22"/>
              </w:rPr>
            </w:pPr>
            <w:r w:rsidDel="00000000" w:rsidR="00000000" w:rsidRPr="00000000">
              <w:rPr>
                <w:rtl w:val="0"/>
              </w:rPr>
            </w:r>
          </w:p>
        </w:tc>
      </w:tr>
      <w:tr>
        <w:tc>
          <w:tcPr/>
          <w:p w:rsidR="00000000" w:rsidDel="00000000" w:rsidP="00000000" w:rsidRDefault="00000000" w:rsidRPr="00000000" w14:paraId="000000BA">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p>
        </w:tc>
        <w:tc>
          <w:tcPr/>
          <w:p w:rsidR="00000000" w:rsidDel="00000000" w:rsidP="00000000" w:rsidRDefault="00000000" w:rsidRPr="00000000" w14:paraId="000000BB">
            <w:pPr>
              <w:widowControl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Cordão personalizado, </w:t>
            </w:r>
            <w:r w:rsidDel="00000000" w:rsidR="00000000" w:rsidRPr="00000000">
              <w:rPr>
                <w:rFonts w:ascii="Calibri" w:cs="Calibri" w:eastAsia="Calibri" w:hAnsi="Calibri"/>
                <w:sz w:val="22"/>
                <w:szCs w:val="22"/>
                <w:rtl w:val="0"/>
              </w:rPr>
              <w:t xml:space="preserve">equipado com clips e com acabamento por solda reforçado com fixador metálico. </w:t>
            </w:r>
          </w:p>
          <w:p w:rsidR="00000000" w:rsidDel="00000000" w:rsidP="00000000" w:rsidRDefault="00000000" w:rsidRPr="00000000" w14:paraId="000000BC">
            <w:pPr>
              <w:widowControl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Cor preta com impressão branca, confeccionado em Poliéster ou Acetinado, impressão em SILKSCREEN. Medida Padrão de 10mmx85cm (aberto).</w:t>
            </w:r>
          </w:p>
          <w:p w:rsidR="00000000" w:rsidDel="00000000" w:rsidP="00000000" w:rsidRDefault="00000000" w:rsidRPr="00000000" w14:paraId="000000BD">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Catmat: </w:t>
            </w:r>
            <w:r w:rsidDel="00000000" w:rsidR="00000000" w:rsidRPr="00000000">
              <w:rPr>
                <w:rFonts w:ascii="Raleway" w:cs="Raleway" w:eastAsia="Raleway" w:hAnsi="Raleway"/>
                <w:b w:val="1"/>
                <w:color w:val="55774c"/>
                <w:sz w:val="19"/>
                <w:szCs w:val="19"/>
                <w:highlight w:val="white"/>
                <w:rtl w:val="0"/>
              </w:rPr>
              <w:t xml:space="preserve">22810</w:t>
            </w:r>
            <w:r w:rsidDel="00000000" w:rsidR="00000000" w:rsidRPr="00000000">
              <w:rPr>
                <w:rtl w:val="0"/>
              </w:rPr>
            </w:r>
          </w:p>
        </w:tc>
        <w:tc>
          <w:tcPr/>
          <w:p w:rsidR="00000000" w:rsidDel="00000000" w:rsidP="00000000" w:rsidRDefault="00000000" w:rsidRPr="00000000" w14:paraId="000000BE">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und</w:t>
            </w:r>
          </w:p>
        </w:tc>
        <w:tc>
          <w:tcPr/>
          <w:p w:rsidR="00000000" w:rsidDel="00000000" w:rsidP="00000000" w:rsidRDefault="00000000" w:rsidRPr="00000000" w14:paraId="000000BF">
            <w:pPr>
              <w:widowControl w:val="0"/>
              <w:jc w:val="center"/>
              <w:rPr>
                <w:rFonts w:ascii="Calibri" w:cs="Calibri" w:eastAsia="Calibri" w:hAnsi="Calibri"/>
                <w:b w:val="1"/>
                <w:sz w:val="22"/>
                <w:szCs w:val="22"/>
              </w:rPr>
            </w:pPr>
            <w:r w:rsidDel="00000000" w:rsidR="00000000" w:rsidRPr="00000000">
              <w:rPr>
                <w:rtl w:val="0"/>
              </w:rPr>
            </w:r>
          </w:p>
        </w:tc>
      </w:tr>
      <w:tr>
        <w:tc>
          <w:tcPr/>
          <w:p w:rsidR="00000000" w:rsidDel="00000000" w:rsidP="00000000" w:rsidRDefault="00000000" w:rsidRPr="00000000" w14:paraId="000000C0">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w:t>
            </w:r>
          </w:p>
        </w:tc>
        <w:tc>
          <w:tcPr/>
          <w:p w:rsidR="00000000" w:rsidDel="00000000" w:rsidP="00000000" w:rsidRDefault="00000000" w:rsidRPr="00000000" w14:paraId="000000C1">
            <w:pPr>
              <w:widowControl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Presilha </w:t>
            </w:r>
            <w:r w:rsidDel="00000000" w:rsidR="00000000" w:rsidRPr="00000000">
              <w:rPr>
                <w:rFonts w:ascii="Calibri" w:cs="Calibri" w:eastAsia="Calibri" w:hAnsi="Calibri"/>
                <w:sz w:val="22"/>
                <w:szCs w:val="22"/>
                <w:rtl w:val="0"/>
              </w:rPr>
              <w:t xml:space="preserve">tipo “jacaré”, clips leitosos.</w:t>
            </w:r>
          </w:p>
          <w:p w:rsidR="00000000" w:rsidDel="00000000" w:rsidP="00000000" w:rsidRDefault="00000000" w:rsidRPr="00000000" w14:paraId="000000C2">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Catmat:</w:t>
            </w:r>
          </w:p>
        </w:tc>
        <w:tc>
          <w:tcPr/>
          <w:p w:rsidR="00000000" w:rsidDel="00000000" w:rsidP="00000000" w:rsidRDefault="00000000" w:rsidRPr="00000000" w14:paraId="000000C3">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und</w:t>
            </w:r>
          </w:p>
        </w:tc>
        <w:tc>
          <w:tcPr/>
          <w:p w:rsidR="00000000" w:rsidDel="00000000" w:rsidP="00000000" w:rsidRDefault="00000000" w:rsidRPr="00000000" w14:paraId="000000C4">
            <w:pPr>
              <w:widowControl w:val="0"/>
              <w:jc w:val="center"/>
              <w:rPr>
                <w:rFonts w:ascii="Calibri" w:cs="Calibri" w:eastAsia="Calibri" w:hAnsi="Calibri"/>
                <w:b w:val="1"/>
                <w:sz w:val="22"/>
                <w:szCs w:val="22"/>
              </w:rPr>
            </w:pPr>
            <w:r w:rsidDel="00000000" w:rsidR="00000000" w:rsidRPr="00000000">
              <w:rPr>
                <w:rtl w:val="0"/>
              </w:rPr>
            </w:r>
          </w:p>
        </w:tc>
      </w:tr>
      <w:tr>
        <w:tc>
          <w:tcPr/>
          <w:p w:rsidR="00000000" w:rsidDel="00000000" w:rsidP="00000000" w:rsidRDefault="00000000" w:rsidRPr="00000000" w14:paraId="000000C5">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w:t>
            </w:r>
          </w:p>
        </w:tc>
        <w:tc>
          <w:tcPr/>
          <w:p w:rsidR="00000000" w:rsidDel="00000000" w:rsidP="00000000" w:rsidRDefault="00000000" w:rsidRPr="00000000" w14:paraId="000000C6">
            <w:pPr>
              <w:widowControl w:val="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Protetor de cartão transparente</w:t>
            </w:r>
            <w:r w:rsidDel="00000000" w:rsidR="00000000" w:rsidRPr="00000000">
              <w:rPr>
                <w:rFonts w:ascii="Calibri" w:cs="Calibri" w:eastAsia="Calibri" w:hAnsi="Calibri"/>
                <w:color w:val="000000"/>
                <w:sz w:val="22"/>
                <w:szCs w:val="22"/>
                <w:rtl w:val="0"/>
              </w:rPr>
              <w:t xml:space="preserve">. Medidas compatíveis com o crachá de identificação com furo na vertical.</w:t>
            </w:r>
          </w:p>
          <w:p w:rsidR="00000000" w:rsidDel="00000000" w:rsidP="00000000" w:rsidRDefault="00000000" w:rsidRPr="00000000" w14:paraId="000000C7">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Catmat:</w:t>
            </w:r>
          </w:p>
        </w:tc>
        <w:tc>
          <w:tcPr/>
          <w:p w:rsidR="00000000" w:rsidDel="00000000" w:rsidP="00000000" w:rsidRDefault="00000000" w:rsidRPr="00000000" w14:paraId="000000C8">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und</w:t>
            </w:r>
          </w:p>
        </w:tc>
        <w:tc>
          <w:tcPr/>
          <w:p w:rsidR="00000000" w:rsidDel="00000000" w:rsidP="00000000" w:rsidRDefault="00000000" w:rsidRPr="00000000" w14:paraId="000000C9">
            <w:pPr>
              <w:widowControl w:val="0"/>
              <w:jc w:val="cente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CA">
      <w:pPr>
        <w:jc w:val="left"/>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CB">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C">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D">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E">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F">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0">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ANEXO II- ENDEREÇOS DE ENTREGA DOS ÓRGÃOS</w:t>
      </w:r>
    </w:p>
    <w:p w:rsidR="00000000" w:rsidDel="00000000" w:rsidP="00000000" w:rsidRDefault="00000000" w:rsidRPr="00000000" w14:paraId="000000D1">
      <w:pPr>
        <w:jc w:val="center"/>
        <w:rPr>
          <w:rFonts w:ascii="Calibri" w:cs="Calibri" w:eastAsia="Calibri" w:hAnsi="Calibri"/>
          <w:b w:val="1"/>
          <w:sz w:val="22"/>
          <w:szCs w:val="22"/>
        </w:rPr>
      </w:pPr>
      <w:r w:rsidDel="00000000" w:rsidR="00000000" w:rsidRPr="00000000">
        <w:rPr>
          <w:rtl w:val="0"/>
        </w:rPr>
      </w:r>
    </w:p>
    <w:tbl>
      <w:tblPr>
        <w:tblStyle w:val="Table2"/>
        <w:tblW w:w="9506.0" w:type="dxa"/>
        <w:jc w:val="left"/>
        <w:tblInd w:w="-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0"/>
        <w:gridCol w:w="1412"/>
        <w:gridCol w:w="47"/>
        <w:gridCol w:w="7437"/>
        <w:tblGridChange w:id="0">
          <w:tblGrid>
            <w:gridCol w:w="610"/>
            <w:gridCol w:w="1412"/>
            <w:gridCol w:w="47"/>
            <w:gridCol w:w="7437"/>
          </w:tblGrid>
        </w:tblGridChange>
      </w:tblGrid>
      <w:tr>
        <w:trPr>
          <w:trHeight w:val="524" w:hRule="atLeast"/>
        </w:trPr>
        <w:tc>
          <w:tcPr>
            <w:gridSpan w:val="2"/>
            <w:vAlign w:val="center"/>
          </w:tcPr>
          <w:p w:rsidR="00000000" w:rsidDel="00000000" w:rsidP="00000000" w:rsidRDefault="00000000" w:rsidRPr="00000000" w14:paraId="000000D2">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ÓRGÃO GERENCIADOR</w:t>
            </w:r>
          </w:p>
        </w:tc>
        <w:tc>
          <w:tcPr>
            <w:gridSpan w:val="2"/>
            <w:vAlign w:val="center"/>
          </w:tcPr>
          <w:p w:rsidR="00000000" w:rsidDel="00000000" w:rsidP="00000000" w:rsidRDefault="00000000" w:rsidRPr="00000000" w14:paraId="000000D4">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ENDEREÇO</w:t>
            </w:r>
          </w:p>
        </w:tc>
      </w:tr>
      <w:tr>
        <w:trPr>
          <w:trHeight w:val="257" w:hRule="atLeast"/>
        </w:trPr>
        <w:tc>
          <w:tcPr/>
          <w:p w:rsidR="00000000" w:rsidDel="00000000" w:rsidP="00000000" w:rsidRDefault="00000000" w:rsidRPr="00000000" w14:paraId="000000D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gridSpan w:val="2"/>
          </w:tcPr>
          <w:p w:rsidR="00000000" w:rsidDel="00000000" w:rsidP="00000000" w:rsidRDefault="00000000" w:rsidRPr="00000000" w14:paraId="000000D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ARSER</w:t>
            </w:r>
          </w:p>
          <w:p w:rsidR="00000000" w:rsidDel="00000000" w:rsidP="00000000" w:rsidRDefault="00000000" w:rsidRPr="00000000" w14:paraId="000000D8">
            <w:pP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DA">
            <w:pPr>
              <w:jc w:val="both"/>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Rua Eng. Roberto Gonçalves Menezes, 71, Centro, Maceió – AL CEP:57020-680 (82) 3315-3713 / 3714 / 3715. Maceio/AL</w:t>
            </w:r>
            <w:r w:rsidDel="00000000" w:rsidR="00000000" w:rsidRPr="00000000">
              <w:rPr>
                <w:rtl w:val="0"/>
              </w:rPr>
            </w:r>
          </w:p>
        </w:tc>
      </w:tr>
      <w:tr>
        <w:trPr>
          <w:trHeight w:val="448" w:hRule="atLeast"/>
        </w:trPr>
        <w:tc>
          <w:tcPr>
            <w:gridSpan w:val="2"/>
            <w:vAlign w:val="center"/>
          </w:tcPr>
          <w:p w:rsidR="00000000" w:rsidDel="00000000" w:rsidP="00000000" w:rsidRDefault="00000000" w:rsidRPr="00000000" w14:paraId="000000DB">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ÓRGÃOS PARTICIPANTES</w:t>
            </w:r>
          </w:p>
        </w:tc>
        <w:tc>
          <w:tcPr>
            <w:gridSpan w:val="2"/>
            <w:vAlign w:val="center"/>
          </w:tcPr>
          <w:p w:rsidR="00000000" w:rsidDel="00000000" w:rsidP="00000000" w:rsidRDefault="00000000" w:rsidRPr="00000000" w14:paraId="000000DD">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ENDEREÇOS:</w:t>
            </w:r>
          </w:p>
        </w:tc>
      </w:tr>
      <w:tr>
        <w:trPr>
          <w:trHeight w:val="353" w:hRule="atLeast"/>
        </w:trPr>
        <w:tc>
          <w:tcPr/>
          <w:p w:rsidR="00000000" w:rsidDel="00000000" w:rsidP="00000000" w:rsidRDefault="00000000" w:rsidRPr="00000000" w14:paraId="000000D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gridSpan w:val="2"/>
          </w:tcPr>
          <w:p w:rsidR="00000000" w:rsidDel="00000000" w:rsidP="00000000" w:rsidRDefault="00000000" w:rsidRPr="00000000" w14:paraId="000000E0">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SEMGE</w:t>
            </w:r>
          </w:p>
        </w:tc>
        <w:tc>
          <w:tcPr/>
          <w:p w:rsidR="00000000" w:rsidDel="00000000" w:rsidP="00000000" w:rsidRDefault="00000000" w:rsidRPr="00000000" w14:paraId="000000E2">
            <w:pPr>
              <w:jc w:val="both"/>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Rua Pedro Monteiro, 5, Centro. </w:t>
            </w: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sz w:val="22"/>
                <w:szCs w:val="22"/>
                <w:highlight w:val="white"/>
                <w:rtl w:val="0"/>
              </w:rPr>
              <w:t xml:space="preserve">CEP 57020-150 / Fone: (82) 3315-7115 / 7104 / 7113</w:t>
            </w:r>
            <w:r w:rsidDel="00000000" w:rsidR="00000000" w:rsidRPr="00000000">
              <w:rPr>
                <w:rtl w:val="0"/>
              </w:rPr>
            </w:r>
          </w:p>
        </w:tc>
      </w:tr>
      <w:tr>
        <w:trPr>
          <w:trHeight w:val="353" w:hRule="atLeast"/>
        </w:trPr>
        <w:tc>
          <w:tcPr/>
          <w:p w:rsidR="00000000" w:rsidDel="00000000" w:rsidP="00000000" w:rsidRDefault="00000000" w:rsidRPr="00000000" w14:paraId="000000E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gridSpan w:val="2"/>
          </w:tcPr>
          <w:p w:rsidR="00000000" w:rsidDel="00000000" w:rsidP="00000000" w:rsidRDefault="00000000" w:rsidRPr="00000000" w14:paraId="000000E4">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SECOM</w:t>
            </w:r>
          </w:p>
        </w:tc>
        <w:tc>
          <w:tcPr/>
          <w:p w:rsidR="00000000" w:rsidDel="00000000" w:rsidP="00000000" w:rsidRDefault="00000000" w:rsidRPr="00000000" w14:paraId="000000E6">
            <w:pPr>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Rua Sá e Albuquerque, 235, Jaraguá </w:t>
            </w: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sz w:val="22"/>
                <w:szCs w:val="22"/>
                <w:highlight w:val="white"/>
                <w:rtl w:val="0"/>
              </w:rPr>
              <w:t xml:space="preserve">/ Fone:  3315.9001</w:t>
            </w:r>
          </w:p>
        </w:tc>
      </w:tr>
      <w:tr>
        <w:trPr>
          <w:trHeight w:val="514" w:hRule="atLeast"/>
        </w:trPr>
        <w:tc>
          <w:tcPr/>
          <w:p w:rsidR="00000000" w:rsidDel="00000000" w:rsidP="00000000" w:rsidRDefault="00000000" w:rsidRPr="00000000" w14:paraId="000000E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gridSpan w:val="2"/>
          </w:tcPr>
          <w:p w:rsidR="00000000" w:rsidDel="00000000" w:rsidP="00000000" w:rsidRDefault="00000000" w:rsidRPr="00000000" w14:paraId="000000E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SMCI</w:t>
            </w:r>
          </w:p>
        </w:tc>
        <w:tc>
          <w:tcPr/>
          <w:p w:rsidR="00000000" w:rsidDel="00000000" w:rsidP="00000000" w:rsidRDefault="00000000" w:rsidRPr="00000000" w14:paraId="000000EA">
            <w:pPr>
              <w:spacing w:line="360" w:lineRule="auto"/>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Rua Sá e Albuquerque, 235, Jaraguá </w:t>
            </w: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sz w:val="22"/>
                <w:szCs w:val="22"/>
                <w:highlight w:val="white"/>
                <w:rtl w:val="0"/>
              </w:rPr>
              <w:t xml:space="preserve">/ Fone:  3315.9001</w:t>
            </w:r>
          </w:p>
        </w:tc>
      </w:tr>
      <w:tr>
        <w:trPr>
          <w:trHeight w:val="353" w:hRule="atLeast"/>
        </w:trPr>
        <w:tc>
          <w:tcPr/>
          <w:p w:rsidR="00000000" w:rsidDel="00000000" w:rsidP="00000000" w:rsidRDefault="00000000" w:rsidRPr="00000000" w14:paraId="000000E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c>
          <w:tcPr>
            <w:gridSpan w:val="2"/>
          </w:tcPr>
          <w:p w:rsidR="00000000" w:rsidDel="00000000" w:rsidP="00000000" w:rsidRDefault="00000000" w:rsidRPr="00000000" w14:paraId="000000EC">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SEMED</w:t>
            </w:r>
          </w:p>
        </w:tc>
        <w:tc>
          <w:tcPr/>
          <w:p w:rsidR="00000000" w:rsidDel="00000000" w:rsidP="00000000" w:rsidRDefault="00000000" w:rsidRPr="00000000" w14:paraId="000000EE">
            <w:pPr>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Rua General Hermes, 1199, Cambona </w:t>
            </w: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sz w:val="22"/>
                <w:szCs w:val="22"/>
                <w:highlight w:val="white"/>
                <w:rtl w:val="0"/>
              </w:rPr>
              <w:t xml:space="preserve">CEP 57017-000 //Fone: (82) 3315-4553</w:t>
            </w:r>
          </w:p>
        </w:tc>
      </w:tr>
      <w:tr>
        <w:trPr>
          <w:trHeight w:val="353" w:hRule="atLeast"/>
        </w:trPr>
        <w:tc>
          <w:tcPr/>
          <w:p w:rsidR="00000000" w:rsidDel="00000000" w:rsidP="00000000" w:rsidRDefault="00000000" w:rsidRPr="00000000" w14:paraId="000000E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w:t>
            </w:r>
          </w:p>
        </w:tc>
        <w:tc>
          <w:tcPr>
            <w:gridSpan w:val="2"/>
          </w:tcPr>
          <w:p w:rsidR="00000000" w:rsidDel="00000000" w:rsidP="00000000" w:rsidRDefault="00000000" w:rsidRPr="00000000" w14:paraId="000000F0">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SEMTEL</w:t>
            </w:r>
          </w:p>
        </w:tc>
        <w:tc>
          <w:tcPr/>
          <w:p w:rsidR="00000000" w:rsidDel="00000000" w:rsidP="00000000" w:rsidRDefault="00000000" w:rsidRPr="00000000" w14:paraId="000000F2">
            <w:pPr>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Rua Sá e Albuquerque, 235, Jaraguá  CEP: 57022-180 // Fone: (82) 3315 6019 | Vila Olímpica: Av. Alice Karoline, 43, Cidade Universitária // Fone: (82) 3315-3990</w:t>
            </w:r>
          </w:p>
        </w:tc>
      </w:tr>
      <w:tr>
        <w:trPr>
          <w:trHeight w:val="353" w:hRule="atLeast"/>
        </w:trPr>
        <w:tc>
          <w:tcPr/>
          <w:p w:rsidR="00000000" w:rsidDel="00000000" w:rsidP="00000000" w:rsidRDefault="00000000" w:rsidRPr="00000000" w14:paraId="000000F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w:t>
            </w:r>
          </w:p>
        </w:tc>
        <w:tc>
          <w:tcPr>
            <w:gridSpan w:val="2"/>
          </w:tcPr>
          <w:p w:rsidR="00000000" w:rsidDel="00000000" w:rsidP="00000000" w:rsidRDefault="00000000" w:rsidRPr="00000000" w14:paraId="000000F4">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SEMEC</w:t>
            </w:r>
          </w:p>
        </w:tc>
        <w:tc>
          <w:tcPr/>
          <w:p w:rsidR="00000000" w:rsidDel="00000000" w:rsidP="00000000" w:rsidRDefault="00000000" w:rsidRPr="00000000" w14:paraId="000000F6">
            <w:pPr>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Rua Pedro Monteiro, nº 47, Centro - Maceió/AL </w:t>
            </w: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sz w:val="22"/>
                <w:szCs w:val="22"/>
                <w:highlight w:val="white"/>
                <w:rtl w:val="0"/>
              </w:rPr>
              <w:t xml:space="preserve">CEP: 57020-380</w:t>
            </w:r>
          </w:p>
        </w:tc>
      </w:tr>
      <w:tr>
        <w:trPr>
          <w:trHeight w:val="353" w:hRule="atLeast"/>
        </w:trPr>
        <w:tc>
          <w:tcPr/>
          <w:p w:rsidR="00000000" w:rsidDel="00000000" w:rsidP="00000000" w:rsidRDefault="00000000" w:rsidRPr="00000000" w14:paraId="000000F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w:t>
            </w:r>
          </w:p>
        </w:tc>
        <w:tc>
          <w:tcPr>
            <w:gridSpan w:val="2"/>
          </w:tcPr>
          <w:p w:rsidR="00000000" w:rsidDel="00000000" w:rsidP="00000000" w:rsidRDefault="00000000" w:rsidRPr="00000000" w14:paraId="000000F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SMG</w:t>
            </w:r>
          </w:p>
        </w:tc>
        <w:tc>
          <w:tcPr/>
          <w:p w:rsidR="00000000" w:rsidDel="00000000" w:rsidP="00000000" w:rsidRDefault="00000000" w:rsidRPr="00000000" w14:paraId="000000FA">
            <w:pPr>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Rua Sá e Albuquerque, 235, Jaraguá  Maceió - AL </w:t>
            </w: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sz w:val="22"/>
                <w:szCs w:val="22"/>
                <w:highlight w:val="white"/>
                <w:rtl w:val="0"/>
              </w:rPr>
              <w:t xml:space="preserve">CEP: 57030-16. Fones: (82) 3315-5042 / 3787</w:t>
            </w:r>
          </w:p>
        </w:tc>
      </w:tr>
      <w:tr>
        <w:trPr>
          <w:trHeight w:val="353" w:hRule="atLeast"/>
        </w:trPr>
        <w:tc>
          <w:tcPr/>
          <w:p w:rsidR="00000000" w:rsidDel="00000000" w:rsidP="00000000" w:rsidRDefault="00000000" w:rsidRPr="00000000" w14:paraId="000000F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w:t>
            </w:r>
          </w:p>
        </w:tc>
        <w:tc>
          <w:tcPr>
            <w:gridSpan w:val="2"/>
          </w:tcPr>
          <w:p w:rsidR="00000000" w:rsidDel="00000000" w:rsidP="00000000" w:rsidRDefault="00000000" w:rsidRPr="00000000" w14:paraId="000000FC">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SEMINFRA</w:t>
            </w:r>
          </w:p>
        </w:tc>
        <w:tc>
          <w:tcPr/>
          <w:p w:rsidR="00000000" w:rsidDel="00000000" w:rsidP="00000000" w:rsidRDefault="00000000" w:rsidRPr="00000000" w14:paraId="000000FE">
            <w:pPr>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Rua do Imperador, 307, Centro </w:t>
            </w: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sz w:val="22"/>
                <w:szCs w:val="22"/>
                <w:highlight w:val="white"/>
                <w:rtl w:val="0"/>
              </w:rPr>
              <w:t xml:space="preserve">CEP 57023-060 // Fones: (82) 3315-5005 /3536</w:t>
            </w:r>
          </w:p>
        </w:tc>
      </w:tr>
      <w:tr>
        <w:trPr>
          <w:trHeight w:val="353" w:hRule="atLeast"/>
        </w:trPr>
        <w:tc>
          <w:tcPr/>
          <w:p w:rsidR="00000000" w:rsidDel="00000000" w:rsidP="00000000" w:rsidRDefault="00000000" w:rsidRPr="00000000" w14:paraId="000000F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w:t>
            </w:r>
          </w:p>
        </w:tc>
        <w:tc>
          <w:tcPr>
            <w:gridSpan w:val="2"/>
          </w:tcPr>
          <w:p w:rsidR="00000000" w:rsidDel="00000000" w:rsidP="00000000" w:rsidRDefault="00000000" w:rsidRPr="00000000" w14:paraId="00000100">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SUDES</w:t>
            </w:r>
          </w:p>
        </w:tc>
        <w:tc>
          <w:tcPr/>
          <w:p w:rsidR="00000000" w:rsidDel="00000000" w:rsidP="00000000" w:rsidRDefault="00000000" w:rsidRPr="00000000" w14:paraId="00000102">
            <w:pPr>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Rua Marquês de Abrantes, s/n, Bebedouro </w:t>
            </w: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sz w:val="22"/>
                <w:szCs w:val="22"/>
                <w:highlight w:val="white"/>
                <w:rtl w:val="0"/>
              </w:rPr>
              <w:t xml:space="preserve">CEP 57018-655 // Fones: (82) 3315-4735 /4736 Parque Municipal: 3358-6232</w:t>
            </w:r>
          </w:p>
        </w:tc>
      </w:tr>
      <w:tr>
        <w:trPr>
          <w:trHeight w:val="353" w:hRule="atLeast"/>
        </w:trPr>
        <w:tc>
          <w:tcPr/>
          <w:p w:rsidR="00000000" w:rsidDel="00000000" w:rsidP="00000000" w:rsidRDefault="00000000" w:rsidRPr="00000000" w14:paraId="0000010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w:t>
            </w:r>
          </w:p>
        </w:tc>
        <w:tc>
          <w:tcPr>
            <w:gridSpan w:val="2"/>
          </w:tcPr>
          <w:p w:rsidR="00000000" w:rsidDel="00000000" w:rsidP="00000000" w:rsidRDefault="00000000" w:rsidRPr="00000000" w14:paraId="00000104">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GP</w:t>
            </w:r>
          </w:p>
        </w:tc>
        <w:tc>
          <w:tcPr/>
          <w:p w:rsidR="00000000" w:rsidDel="00000000" w:rsidP="00000000" w:rsidRDefault="00000000" w:rsidRPr="00000000" w14:paraId="00000106">
            <w:pPr>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Rua Sá e Albuquerque, 235, Jaraguá  Telefones: (82) 3315.5040 / 5045</w:t>
            </w:r>
          </w:p>
        </w:tc>
      </w:tr>
      <w:tr>
        <w:trPr>
          <w:trHeight w:val="353" w:hRule="atLeast"/>
        </w:trPr>
        <w:tc>
          <w:tcPr/>
          <w:p w:rsidR="00000000" w:rsidDel="00000000" w:rsidP="00000000" w:rsidRDefault="00000000" w:rsidRPr="00000000" w14:paraId="0000010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w:t>
            </w:r>
          </w:p>
        </w:tc>
        <w:tc>
          <w:tcPr>
            <w:gridSpan w:val="2"/>
          </w:tcPr>
          <w:p w:rsidR="00000000" w:rsidDel="00000000" w:rsidP="00000000" w:rsidRDefault="00000000" w:rsidRPr="00000000" w14:paraId="0000010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PGM</w:t>
            </w:r>
          </w:p>
        </w:tc>
        <w:tc>
          <w:tcPr/>
          <w:p w:rsidR="00000000" w:rsidDel="00000000" w:rsidP="00000000" w:rsidRDefault="00000000" w:rsidRPr="00000000" w14:paraId="0000010A">
            <w:pPr>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Rua Dr. Pedro Monteiro, 291, Centro. </w:t>
            </w: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sz w:val="22"/>
                <w:szCs w:val="22"/>
                <w:highlight w:val="white"/>
                <w:rtl w:val="0"/>
              </w:rPr>
              <w:t xml:space="preserve">CEP 57020-380 | Telefones: 3327-4902 / 3327-7409 / 3327-1588 / 3327-1447</w:t>
            </w:r>
          </w:p>
        </w:tc>
      </w:tr>
      <w:tr>
        <w:trPr>
          <w:trHeight w:val="353" w:hRule="atLeast"/>
        </w:trPr>
        <w:tc>
          <w:tcPr/>
          <w:p w:rsidR="00000000" w:rsidDel="00000000" w:rsidP="00000000" w:rsidRDefault="00000000" w:rsidRPr="00000000" w14:paraId="0000010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w:t>
            </w:r>
          </w:p>
        </w:tc>
        <w:tc>
          <w:tcPr>
            <w:gridSpan w:val="2"/>
          </w:tcPr>
          <w:p w:rsidR="00000000" w:rsidDel="00000000" w:rsidP="00000000" w:rsidRDefault="00000000" w:rsidRPr="00000000" w14:paraId="0000010C">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SEMSCS</w:t>
            </w:r>
          </w:p>
        </w:tc>
        <w:tc>
          <w:tcPr/>
          <w:p w:rsidR="00000000" w:rsidDel="00000000" w:rsidP="00000000" w:rsidRDefault="00000000" w:rsidRPr="00000000" w14:paraId="0000010E">
            <w:pPr>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white"/>
                <w:rtl w:val="0"/>
              </w:rPr>
              <w:t xml:space="preserve">Sede administrativa: Rua Alexandre Passos, s/n, Jaraguá- Maceió- AL. </w:t>
            </w: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sz w:val="22"/>
                <w:szCs w:val="22"/>
                <w:highlight w:val="white"/>
                <w:rtl w:val="0"/>
              </w:rPr>
              <w:t xml:space="preserve">CEP-57022-190 // Fones: (82) 3315-4747 | Guarda Municipal: Avenida Theobaldo Barbosa, s/n, Conjunto Joaquim Leão, Vergel. </w:t>
            </w: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sz w:val="22"/>
                <w:szCs w:val="22"/>
                <w:highlight w:val="white"/>
                <w:rtl w:val="0"/>
              </w:rPr>
              <w:t xml:space="preserve">CEP: 57014-510 // Fones: (82) 3315-2848 / 1920</w:t>
            </w:r>
            <w:r w:rsidDel="00000000" w:rsidR="00000000" w:rsidRPr="00000000">
              <w:rPr>
                <w:rtl w:val="0"/>
              </w:rPr>
            </w:r>
          </w:p>
        </w:tc>
      </w:tr>
      <w:tr>
        <w:trPr>
          <w:trHeight w:val="353" w:hRule="atLeast"/>
        </w:trPr>
        <w:tc>
          <w:tcPr/>
          <w:p w:rsidR="00000000" w:rsidDel="00000000" w:rsidP="00000000" w:rsidRDefault="00000000" w:rsidRPr="00000000" w14:paraId="0000010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w:t>
            </w:r>
          </w:p>
        </w:tc>
        <w:tc>
          <w:tcPr>
            <w:gridSpan w:val="2"/>
          </w:tcPr>
          <w:p w:rsidR="00000000" w:rsidDel="00000000" w:rsidP="00000000" w:rsidRDefault="00000000" w:rsidRPr="00000000" w14:paraId="00000110">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SEDET</w:t>
            </w:r>
          </w:p>
        </w:tc>
        <w:tc>
          <w:tcPr/>
          <w:p w:rsidR="00000000" w:rsidDel="00000000" w:rsidP="00000000" w:rsidRDefault="00000000" w:rsidRPr="00000000" w14:paraId="00000112">
            <w:pPr>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white"/>
                <w:rtl w:val="0"/>
              </w:rPr>
              <w:t xml:space="preserve">Avenida Governador Afrânio Lages, 297, Farol. </w:t>
            </w: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sz w:val="22"/>
                <w:szCs w:val="22"/>
                <w:highlight w:val="white"/>
                <w:rtl w:val="0"/>
              </w:rPr>
              <w:t xml:space="preserve">CEP - 57050-015 // Fones: (82) 3315- 4754 /</w:t>
            </w:r>
            <w:r w:rsidDel="00000000" w:rsidR="00000000" w:rsidRPr="00000000">
              <w:rPr>
                <w:rtl w:val="0"/>
              </w:rPr>
            </w:r>
          </w:p>
        </w:tc>
      </w:tr>
      <w:tr>
        <w:trPr>
          <w:trHeight w:val="353" w:hRule="atLeast"/>
        </w:trPr>
        <w:tc>
          <w:tcPr/>
          <w:p w:rsidR="00000000" w:rsidDel="00000000" w:rsidP="00000000" w:rsidRDefault="00000000" w:rsidRPr="00000000" w14:paraId="0000011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w:t>
            </w:r>
          </w:p>
        </w:tc>
        <w:tc>
          <w:tcPr>
            <w:gridSpan w:val="2"/>
            <w:shd w:fill="auto" w:val="clear"/>
          </w:tcPr>
          <w:p w:rsidR="00000000" w:rsidDel="00000000" w:rsidP="00000000" w:rsidRDefault="00000000" w:rsidRPr="00000000" w14:paraId="00000114">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SEMTABES</w:t>
            </w:r>
          </w:p>
        </w:tc>
        <w:tc>
          <w:tcPr/>
          <w:p w:rsidR="00000000" w:rsidDel="00000000" w:rsidP="00000000" w:rsidRDefault="00000000" w:rsidRPr="00000000" w14:paraId="00000116">
            <w:pPr>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Sede: Rua do Imperador, 141, Centro. </w:t>
            </w: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sz w:val="22"/>
                <w:szCs w:val="22"/>
                <w:highlight w:val="white"/>
                <w:rtl w:val="0"/>
              </w:rPr>
              <w:t xml:space="preserve">CEP 57020-670 // Fone: (82) 3315-6260 | Sine Maceió: Shopping Popular, Rua do Livramento, Centro. </w:t>
            </w: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sz w:val="22"/>
                <w:szCs w:val="22"/>
                <w:highlight w:val="white"/>
                <w:rtl w:val="0"/>
              </w:rPr>
              <w:t xml:space="preserve">CEP 57020-030</w:t>
            </w:r>
          </w:p>
        </w:tc>
      </w:tr>
      <w:tr>
        <w:trPr>
          <w:trHeight w:val="353" w:hRule="atLeast"/>
        </w:trPr>
        <w:tc>
          <w:tcPr/>
          <w:p w:rsidR="00000000" w:rsidDel="00000000" w:rsidP="00000000" w:rsidRDefault="00000000" w:rsidRPr="00000000" w14:paraId="0000011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16</w:t>
            </w:r>
          </w:p>
        </w:tc>
        <w:tc>
          <w:tcPr>
            <w:gridSpan w:val="2"/>
          </w:tcPr>
          <w:p w:rsidR="00000000" w:rsidDel="00000000" w:rsidP="00000000" w:rsidRDefault="00000000" w:rsidRPr="00000000" w14:paraId="0000011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SIMA</w:t>
            </w:r>
          </w:p>
        </w:tc>
        <w:tc>
          <w:tcPr/>
          <w:p w:rsidR="00000000" w:rsidDel="00000000" w:rsidP="00000000" w:rsidRDefault="00000000" w:rsidRPr="00000000" w14:paraId="0000011A">
            <w:pPr>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Rua Marquês de Abrantes, s/n, Bebedouro </w:t>
            </w: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sz w:val="22"/>
                <w:szCs w:val="22"/>
                <w:highlight w:val="white"/>
                <w:rtl w:val="0"/>
              </w:rPr>
              <w:t xml:space="preserve">CEP 57018-330 // Fones: (82) 3315-3821 / 6410 / 3828 </w:t>
            </w:r>
          </w:p>
        </w:tc>
      </w:tr>
      <w:tr>
        <w:trPr>
          <w:trHeight w:val="353" w:hRule="atLeast"/>
        </w:trPr>
        <w:tc>
          <w:tcPr/>
          <w:p w:rsidR="00000000" w:rsidDel="00000000" w:rsidP="00000000" w:rsidRDefault="00000000" w:rsidRPr="00000000" w14:paraId="0000011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w:t>
            </w:r>
          </w:p>
        </w:tc>
        <w:tc>
          <w:tcPr>
            <w:gridSpan w:val="2"/>
          </w:tcPr>
          <w:p w:rsidR="00000000" w:rsidDel="00000000" w:rsidP="00000000" w:rsidRDefault="00000000" w:rsidRPr="00000000" w14:paraId="0000011C">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SMTT</w:t>
            </w:r>
          </w:p>
        </w:tc>
        <w:tc>
          <w:tcPr/>
          <w:p w:rsidR="00000000" w:rsidDel="00000000" w:rsidP="00000000" w:rsidRDefault="00000000" w:rsidRPr="00000000" w14:paraId="0000011E">
            <w:pPr>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Avenida Durval de Góes Monteiro, 829, KM 10, Tabuleiro do Martins </w:t>
            </w: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sz w:val="22"/>
                <w:szCs w:val="22"/>
                <w:highlight w:val="white"/>
                <w:rtl w:val="0"/>
              </w:rPr>
              <w:t xml:space="preserve">CEP 57061-000 // Fone: (82) 3315-3571</w:t>
            </w:r>
          </w:p>
        </w:tc>
      </w:tr>
      <w:tr>
        <w:trPr>
          <w:trHeight w:val="353" w:hRule="atLeast"/>
        </w:trPr>
        <w:tc>
          <w:tcPr/>
          <w:p w:rsidR="00000000" w:rsidDel="00000000" w:rsidP="00000000" w:rsidRDefault="00000000" w:rsidRPr="00000000" w14:paraId="0000011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18</w:t>
            </w:r>
          </w:p>
        </w:tc>
        <w:tc>
          <w:tcPr>
            <w:gridSpan w:val="2"/>
            <w:shd w:fill="ffffff" w:val="clear"/>
          </w:tcPr>
          <w:p w:rsidR="00000000" w:rsidDel="00000000" w:rsidP="00000000" w:rsidRDefault="00000000" w:rsidRPr="00000000" w14:paraId="00000120">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SEMAS</w:t>
            </w:r>
          </w:p>
        </w:tc>
        <w:tc>
          <w:tcPr>
            <w:vAlign w:val="center"/>
          </w:tcPr>
          <w:p w:rsidR="00000000" w:rsidDel="00000000" w:rsidP="00000000" w:rsidRDefault="00000000" w:rsidRPr="00000000" w14:paraId="0000012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SEMAS SEDE – av. Comendador Leão, 1383, Poço, Maceió-AL</w:t>
            </w:r>
          </w:p>
        </w:tc>
      </w:tr>
      <w:tr>
        <w:trPr>
          <w:trHeight w:val="353" w:hRule="atLeast"/>
        </w:trPr>
        <w:tc>
          <w:tcPr/>
          <w:p w:rsidR="00000000" w:rsidDel="00000000" w:rsidP="00000000" w:rsidRDefault="00000000" w:rsidRPr="00000000" w14:paraId="00000123">
            <w:pPr>
              <w:jc w:val="both"/>
              <w:rPr>
                <w:rFonts w:ascii="Calibri" w:cs="Calibri" w:eastAsia="Calibri" w:hAnsi="Calibri"/>
                <w:sz w:val="22"/>
                <w:szCs w:val="22"/>
              </w:rPr>
            </w:pPr>
            <w:bookmarkStart w:colFirst="0" w:colLast="0" w:name="_gjdgxs" w:id="0"/>
            <w:bookmarkEnd w:id="0"/>
            <w:r w:rsidDel="00000000" w:rsidR="00000000" w:rsidRPr="00000000">
              <w:rPr>
                <w:rFonts w:ascii="Calibri" w:cs="Calibri" w:eastAsia="Calibri" w:hAnsi="Calibri"/>
                <w:sz w:val="22"/>
                <w:szCs w:val="22"/>
                <w:rtl w:val="0"/>
              </w:rPr>
              <w:t xml:space="preserve">19</w:t>
            </w:r>
          </w:p>
        </w:tc>
        <w:tc>
          <w:tcPr>
            <w:gridSpan w:val="2"/>
            <w:shd w:fill="ffffff" w:val="clear"/>
          </w:tcPr>
          <w:p w:rsidR="00000000" w:rsidDel="00000000" w:rsidP="00000000" w:rsidRDefault="00000000" w:rsidRPr="00000000" w14:paraId="00000124">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SMS</w:t>
            </w:r>
          </w:p>
        </w:tc>
        <w:tc>
          <w:tcPr/>
          <w:p w:rsidR="00000000" w:rsidDel="00000000" w:rsidP="00000000" w:rsidRDefault="00000000" w:rsidRPr="00000000" w14:paraId="0000012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Rua Dias Cabral,69, Maceió- AL, Cep: 57020-250</w:t>
            </w:r>
          </w:p>
        </w:tc>
      </w:tr>
    </w:tbl>
    <w:p w:rsidR="00000000" w:rsidDel="00000000" w:rsidP="00000000" w:rsidRDefault="00000000" w:rsidRPr="00000000" w14:paraId="00000127">
      <w:pPr>
        <w:jc w:val="center"/>
        <w:rPr>
          <w:rFonts w:ascii="Calibri" w:cs="Calibri" w:eastAsia="Calibri" w:hAnsi="Calibri"/>
          <w:b w:val="1"/>
          <w:color w:val="000000"/>
          <w:sz w:val="22"/>
          <w:szCs w:val="22"/>
        </w:rPr>
      </w:pPr>
      <w:r w:rsidDel="00000000" w:rsidR="00000000" w:rsidRPr="00000000">
        <w:rPr>
          <w:rtl w:val="0"/>
        </w:rPr>
      </w:r>
    </w:p>
    <w:sectPr>
      <w:headerReference r:id="rId6" w:type="default"/>
      <w:footerReference r:id="rId7" w:type="default"/>
      <w:pgSz w:h="16838" w:w="11906"/>
      <w:pgMar w:bottom="1417" w:top="1417" w:left="1701" w:right="849" w:header="708" w:footer="24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Times New Roman"/>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45699"/>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657600" cy="94805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657600" cy="94805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360" w:hanging="360"/>
      </w:pPr>
      <w:rPr>
        <w:b w:val="1"/>
      </w:rPr>
    </w:lvl>
    <w:lvl w:ilvl="1">
      <w:start w:val="1"/>
      <w:numFmt w:val="decimal"/>
      <w:lvlText w:val="%1.%2"/>
      <w:lvlJc w:val="left"/>
      <w:pPr>
        <w:ind w:left="360" w:hanging="360"/>
      </w:pPr>
      <w:rPr>
        <w:b w:val="0"/>
      </w:rPr>
    </w:lvl>
    <w:lvl w:ilvl="2">
      <w:start w:val="1"/>
      <w:numFmt w:val="lowerLetter"/>
      <w:lvlText w:val="%3)"/>
      <w:lvlJc w:val="left"/>
      <w:pPr>
        <w:ind w:left="862"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2">
    <w:lvl w:ilvl="0">
      <w:start w:val="3"/>
      <w:numFmt w:val="decimal"/>
      <w:lvlText w:val="%1"/>
      <w:lvlJc w:val="left"/>
      <w:pPr>
        <w:ind w:left="360" w:hanging="360"/>
      </w:pPr>
      <w:rPr>
        <w:b w:val="1"/>
      </w:rPr>
    </w:lvl>
    <w:lvl w:ilvl="1">
      <w:start w:val="1"/>
      <w:numFmt w:val="decimal"/>
      <w:lvlText w:val="%1.%2"/>
      <w:lvlJc w:val="left"/>
      <w:pPr>
        <w:ind w:left="360" w:hanging="360"/>
      </w:pPr>
      <w:rPr>
        <w:b w:val="0"/>
      </w:rPr>
    </w:lvl>
    <w:lvl w:ilvl="2">
      <w:start w:val="1"/>
      <w:numFmt w:val="lowerLetter"/>
      <w:lvlText w:val="%3)"/>
      <w:lvlJc w:val="left"/>
      <w:pPr>
        <w:ind w:left="862"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8"/>
      <w:numFmt w:val="decimal"/>
      <w:lvlText w:val="%1"/>
      <w:lvlJc w:val="left"/>
      <w:pPr>
        <w:ind w:left="435" w:hanging="435"/>
      </w:pPr>
      <w:rPr/>
    </w:lvl>
    <w:lvl w:ilvl="1">
      <w:start w:val="1"/>
      <w:numFmt w:val="decimal"/>
      <w:lvlText w:val="%1.%2"/>
      <w:lvlJc w:val="left"/>
      <w:pPr>
        <w:ind w:left="435" w:hanging="435"/>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360" w:hanging="360"/>
      </w:pPr>
      <w:rPr>
        <w:rFonts w:ascii="Calibri" w:cs="Calibri" w:eastAsia="Calibri" w:hAnsi="Calibri"/>
      </w:rPr>
    </w:lvl>
    <w:lvl w:ilvl="1">
      <w:start w:val="1"/>
      <w:numFmt w:val="decimal"/>
      <w:lvlText w:val="%1.%2"/>
      <w:lvlJc w:val="left"/>
      <w:pPr>
        <w:ind w:left="360" w:hanging="360"/>
      </w:pPr>
      <w:rPr>
        <w:rFonts w:ascii="Calibri" w:cs="Calibri" w:eastAsia="Calibri" w:hAnsi="Calibri"/>
      </w:rPr>
    </w:lvl>
    <w:lvl w:ilvl="2">
      <w:start w:val="1"/>
      <w:numFmt w:val="decimal"/>
      <w:lvlText w:val="%1.%2.%3"/>
      <w:lvlJc w:val="left"/>
      <w:pPr>
        <w:ind w:left="720" w:hanging="720"/>
      </w:pPr>
      <w:rPr>
        <w:rFonts w:ascii="Calibri" w:cs="Calibri" w:eastAsia="Calibri" w:hAnsi="Calibri"/>
      </w:rPr>
    </w:lvl>
    <w:lvl w:ilvl="3">
      <w:start w:val="1"/>
      <w:numFmt w:val="decimal"/>
      <w:lvlText w:val="%1.%2.%3.%4"/>
      <w:lvlJc w:val="left"/>
      <w:pPr>
        <w:ind w:left="720" w:hanging="720"/>
      </w:pPr>
      <w:rPr>
        <w:rFonts w:ascii="Calibri" w:cs="Calibri" w:eastAsia="Calibri" w:hAnsi="Calibri"/>
      </w:rPr>
    </w:lvl>
    <w:lvl w:ilvl="4">
      <w:start w:val="1"/>
      <w:numFmt w:val="decimal"/>
      <w:lvlText w:val="%1.%2.%3.%4.%5"/>
      <w:lvlJc w:val="left"/>
      <w:pPr>
        <w:ind w:left="1080" w:hanging="1080"/>
      </w:pPr>
      <w:rPr>
        <w:rFonts w:ascii="Calibri" w:cs="Calibri" w:eastAsia="Calibri" w:hAnsi="Calibri"/>
      </w:rPr>
    </w:lvl>
    <w:lvl w:ilvl="5">
      <w:start w:val="1"/>
      <w:numFmt w:val="decimal"/>
      <w:lvlText w:val="%1.%2.%3.%4.%5.%6"/>
      <w:lvlJc w:val="left"/>
      <w:pPr>
        <w:ind w:left="1080" w:hanging="1080"/>
      </w:pPr>
      <w:rPr>
        <w:rFonts w:ascii="Calibri" w:cs="Calibri" w:eastAsia="Calibri" w:hAnsi="Calibri"/>
      </w:rPr>
    </w:lvl>
    <w:lvl w:ilvl="6">
      <w:start w:val="1"/>
      <w:numFmt w:val="decimal"/>
      <w:lvlText w:val="%1.%2.%3.%4.%5.%6.%7"/>
      <w:lvlJc w:val="left"/>
      <w:pPr>
        <w:ind w:left="1440" w:hanging="1440"/>
      </w:pPr>
      <w:rPr>
        <w:rFonts w:ascii="Calibri" w:cs="Calibri" w:eastAsia="Calibri" w:hAnsi="Calibri"/>
      </w:rPr>
    </w:lvl>
    <w:lvl w:ilvl="7">
      <w:start w:val="1"/>
      <w:numFmt w:val="decimal"/>
      <w:lvlText w:val="%1.%2.%3.%4.%5.%6.%7.%8"/>
      <w:lvlJc w:val="left"/>
      <w:pPr>
        <w:ind w:left="1440" w:hanging="1440"/>
      </w:pPr>
      <w:rPr>
        <w:rFonts w:ascii="Calibri" w:cs="Calibri" w:eastAsia="Calibri" w:hAnsi="Calibri"/>
      </w:rPr>
    </w:lvl>
    <w:lvl w:ilvl="8">
      <w:start w:val="1"/>
      <w:numFmt w:val="decimal"/>
      <w:lvlText w:val="%1.%2.%3.%4.%5.%6.%7.%8.%9"/>
      <w:lvlJc w:val="left"/>
      <w:pPr>
        <w:ind w:left="1440" w:hanging="1440"/>
      </w:pPr>
      <w:rPr>
        <w:rFonts w:ascii="Calibri" w:cs="Calibri" w:eastAsia="Calibri" w:hAnsi="Calibri"/>
      </w:rPr>
    </w:lvl>
  </w:abstractNum>
  <w:abstractNum w:abstractNumId="9">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2"/>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b w:val="0"/>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ind w:firstLine="567"/>
    </w:pPr>
    <w:rPr>
      <w:b w:val="1"/>
    </w:rPr>
  </w:style>
  <w:style w:type="table" w:styleId="Table1">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