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4"/>
        </w:tabs>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TERMO DE REFERÊNCIA</w:t>
      </w:r>
    </w:p>
    <w:p w:rsidR="00000000" w:rsidDel="00000000" w:rsidP="00000000" w:rsidRDefault="00000000" w:rsidRPr="00000000" w14:paraId="00000002">
      <w:pPr>
        <w:tabs>
          <w:tab w:val="left" w:pos="284"/>
        </w:tabs>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3">
      <w:pPr>
        <w:pStyle w:val="Heading4"/>
        <w:keepLines w:val="0"/>
        <w:numPr>
          <w:ilvl w:val="0"/>
          <w:numId w:val="9"/>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DO OBJETO</w:t>
      </w:r>
    </w:p>
    <w:p w:rsidR="00000000" w:rsidDel="00000000" w:rsidP="00000000" w:rsidRDefault="00000000" w:rsidRPr="00000000" w14:paraId="0000000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Registro de Preços para futura e eventual aquisição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Crachás de Identificação Funcional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nas especificações e quantidades constantes no Anexo I deste Termo de Referência.</w:t>
      </w:r>
    </w:p>
    <w:p w:rsidR="00000000" w:rsidDel="00000000" w:rsidP="00000000" w:rsidRDefault="00000000" w:rsidRPr="00000000" w14:paraId="00000005">
      <w:pPr>
        <w:pStyle w:val="Heading4"/>
        <w:keepLines w:val="0"/>
        <w:numPr>
          <w:ilvl w:val="0"/>
          <w:numId w:val="9"/>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JUSTIFICATIVA </w:t>
      </w:r>
    </w:p>
    <w:p w:rsidR="00000000" w:rsidDel="00000000" w:rsidP="00000000" w:rsidRDefault="00000000" w:rsidRPr="00000000" w14:paraId="00000006">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000000" w:rsidDel="00000000" w:rsidP="00000000" w:rsidRDefault="00000000" w:rsidRPr="00000000" w14:paraId="00000007">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8">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9">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contratação centralizada proporciona uma melhoria nos procedimentos técnicos e administrativos, além da redução do número de processos licitatórios, auferindo a administração redução de custos operacionais e eficiência gerencial.</w:t>
      </w:r>
    </w:p>
    <w:p w:rsidR="00000000" w:rsidDel="00000000" w:rsidP="00000000" w:rsidRDefault="00000000" w:rsidRPr="00000000" w14:paraId="0000000A">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B">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0C">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Administração Pública Municipal ao lançar uma licitação centralizada sinaliza fortemente ao mercado fornecedor de que existe planejamento em suas aquisições e que se busca as melhores negociações.</w:t>
      </w:r>
    </w:p>
    <w:p w:rsidR="00000000" w:rsidDel="00000000" w:rsidP="00000000" w:rsidRDefault="00000000" w:rsidRPr="00000000" w14:paraId="0000000D">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0E">
      <w:pPr>
        <w:numPr>
          <w:ilvl w:val="1"/>
          <w:numId w:val="11"/>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Dentre as vantagens do Sistema de Registro de Preços, definido no Decreto Municipal nº 7.496 de 11 de abril de 2013, destaca-se:</w:t>
      </w:r>
    </w:p>
    <w:p w:rsidR="00000000" w:rsidDel="00000000" w:rsidP="00000000" w:rsidRDefault="00000000" w:rsidRPr="00000000" w14:paraId="0000000F">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A vigência da Ata de Registro de Preços é de 12 (doze) meses;</w:t>
      </w:r>
    </w:p>
    <w:p w:rsidR="00000000" w:rsidDel="00000000" w:rsidP="00000000" w:rsidRDefault="00000000" w:rsidRPr="00000000" w14:paraId="00000010">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É dispensável a dotação orçamentária para iniciar a licitação;</w:t>
      </w:r>
    </w:p>
    <w:p w:rsidR="00000000" w:rsidDel="00000000" w:rsidP="00000000" w:rsidRDefault="00000000" w:rsidRPr="00000000" w14:paraId="00000011">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Possibilidade de atendimento aos variados tipos de demandas;</w:t>
      </w:r>
    </w:p>
    <w:p w:rsidR="00000000" w:rsidDel="00000000" w:rsidP="00000000" w:rsidRDefault="00000000" w:rsidRPr="00000000" w14:paraId="00000012">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Redução dos custos operacionais e de estoque;</w:t>
      </w:r>
    </w:p>
    <w:p w:rsidR="00000000" w:rsidDel="00000000" w:rsidP="00000000" w:rsidRDefault="00000000" w:rsidRPr="00000000" w14:paraId="00000013">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Redução do número de licitações durante o exercício financeiro;</w:t>
      </w:r>
    </w:p>
    <w:p w:rsidR="00000000" w:rsidDel="00000000" w:rsidP="00000000" w:rsidRDefault="00000000" w:rsidRPr="00000000" w14:paraId="00000014">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Aumento da eficiência administrativa;</w:t>
      </w:r>
    </w:p>
    <w:p w:rsidR="00000000" w:rsidDel="00000000" w:rsidP="00000000" w:rsidRDefault="00000000" w:rsidRPr="00000000" w14:paraId="00000015">
      <w:pPr>
        <w:numPr>
          <w:ilvl w:val="0"/>
          <w:numId w:val="10"/>
        </w:numPr>
        <w:tabs>
          <w:tab w:val="left" w:pos="1985"/>
        </w:tabs>
        <w:spacing w:after="120" w:lineRule="auto"/>
        <w:ind w:left="1418" w:firstLine="0"/>
        <w:jc w:val="both"/>
        <w:rPr>
          <w:sz w:val="22"/>
          <w:szCs w:val="22"/>
        </w:rPr>
      </w:pPr>
      <w:r w:rsidDel="00000000" w:rsidR="00000000" w:rsidRPr="00000000">
        <w:rPr>
          <w:rFonts w:ascii="Calibri" w:cs="Calibri" w:eastAsia="Calibri" w:hAnsi="Calibri"/>
          <w:sz w:val="22"/>
          <w:szCs w:val="22"/>
          <w:rtl w:val="0"/>
        </w:rPr>
        <w:t xml:space="preserve">Agilidade e otimização nas contratações públicas</w:t>
      </w:r>
    </w:p>
    <w:p w:rsidR="00000000" w:rsidDel="00000000" w:rsidP="00000000" w:rsidRDefault="00000000" w:rsidRPr="00000000" w14:paraId="00000016">
      <w:pPr>
        <w:numPr>
          <w:ilvl w:val="0"/>
          <w:numId w:val="10"/>
        </w:numPr>
        <w:tabs>
          <w:tab w:val="left" w:pos="1985"/>
        </w:tabs>
        <w:spacing w:after="120" w:lineRule="auto"/>
        <w:ind w:left="1985" w:hanging="566.9999999999999"/>
        <w:jc w:val="both"/>
        <w:rPr>
          <w:sz w:val="22"/>
          <w:szCs w:val="22"/>
        </w:rPr>
      </w:pPr>
      <w:r w:rsidDel="00000000" w:rsidR="00000000" w:rsidRPr="00000000">
        <w:rPr>
          <w:rFonts w:ascii="Calibri" w:cs="Calibri" w:eastAsia="Calibri" w:hAnsi="Calibri"/>
          <w:sz w:val="22"/>
          <w:szCs w:val="22"/>
          <w:rtl w:val="0"/>
        </w:rPr>
        <w:t xml:space="preserve">Possibilidade de estimar quantitativos quando não é possível definir previamente a quantidade exata do objeto a ser adquirido.</w:t>
      </w:r>
    </w:p>
    <w:p w:rsidR="00000000" w:rsidDel="00000000" w:rsidP="00000000" w:rsidRDefault="00000000" w:rsidRPr="00000000" w14:paraId="00000017">
      <w:pPr>
        <w:numPr>
          <w:ilvl w:val="1"/>
          <w:numId w:val="11"/>
        </w:numPr>
        <w:spacing w:after="240"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Nesse sentido, a</w:t>
      </w:r>
      <w:r w:rsidDel="00000000" w:rsidR="00000000" w:rsidRPr="00000000">
        <w:rPr>
          <w:rFonts w:ascii="Calibri" w:cs="Calibri" w:eastAsia="Calibri" w:hAnsi="Calibri"/>
          <w:color w:val="000000"/>
          <w:sz w:val="22"/>
          <w:szCs w:val="22"/>
          <w:rtl w:val="0"/>
        </w:rPr>
        <w:t xml:space="preserve"> presente aquisição objetiva a identificação dos servidores </w:t>
      </w:r>
      <w:r w:rsidDel="00000000" w:rsidR="00000000" w:rsidRPr="00000000">
        <w:rPr>
          <w:rFonts w:ascii="Calibri" w:cs="Calibri" w:eastAsia="Calibri" w:hAnsi="Calibri"/>
          <w:sz w:val="22"/>
          <w:szCs w:val="22"/>
          <w:rtl w:val="0"/>
        </w:rPr>
        <w:t xml:space="preserve">dos Órgãos e Entidades municipais</w:t>
      </w:r>
      <w:r w:rsidDel="00000000" w:rsidR="00000000" w:rsidRPr="00000000">
        <w:rPr>
          <w:rFonts w:ascii="Calibri" w:cs="Calibri" w:eastAsia="Calibri" w:hAnsi="Calibri"/>
          <w:color w:val="000000"/>
          <w:sz w:val="22"/>
          <w:szCs w:val="22"/>
          <w:rtl w:val="0"/>
        </w:rPr>
        <w:t xml:space="preserve">, além dos visitantes, proporcionando:</w:t>
      </w:r>
      <w:r w:rsidDel="00000000" w:rsidR="00000000" w:rsidRPr="00000000">
        <w:rPr>
          <w:rtl w:val="0"/>
        </w:rPr>
      </w:r>
    </w:p>
    <w:p w:rsidR="00000000" w:rsidDel="00000000" w:rsidP="00000000" w:rsidRDefault="00000000" w:rsidRPr="00000000" w14:paraId="00000018">
      <w:pPr>
        <w:numPr>
          <w:ilvl w:val="2"/>
          <w:numId w:val="11"/>
        </w:numPr>
        <w:spacing w:after="240"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Controle de acesso no próprio órgão, através da distinção entre servidores e visitantes, conferindo maior segurança e dados estimativos de circulação diária de pessoas no prédio;</w:t>
      </w:r>
      <w:r w:rsidDel="00000000" w:rsidR="00000000" w:rsidRPr="00000000">
        <w:rPr>
          <w:rtl w:val="0"/>
        </w:rPr>
      </w:r>
    </w:p>
    <w:p w:rsidR="00000000" w:rsidDel="00000000" w:rsidP="00000000" w:rsidRDefault="00000000" w:rsidRPr="00000000" w14:paraId="00000019">
      <w:pPr>
        <w:numPr>
          <w:ilvl w:val="2"/>
          <w:numId w:val="11"/>
        </w:numPr>
        <w:spacing w:after="240"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Pronta identificação dos servidores responsáveis por prestar atendimento aos usuários dos serviços prestados pelo Órgãos, a outros funcionários públicos, contribuintes, candidatos em seleções de pessoal, entre outros;</w:t>
      </w:r>
      <w:r w:rsidDel="00000000" w:rsidR="00000000" w:rsidRPr="00000000">
        <w:rPr>
          <w:rtl w:val="0"/>
        </w:rPr>
      </w:r>
    </w:p>
    <w:p w:rsidR="00000000" w:rsidDel="00000000" w:rsidP="00000000" w:rsidRDefault="00000000" w:rsidRPr="00000000" w14:paraId="0000001A">
      <w:pPr>
        <w:numPr>
          <w:ilvl w:val="2"/>
          <w:numId w:val="11"/>
        </w:numPr>
        <w:spacing w:after="240"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Fácil identificação dos servidores durante o exercício da função quando da apresentação em outros órgãos municipais, estaduais e federais, empresas e demais instituições, em audiências, reuniões, eventos, pesquisas de preço externas, negociações, etc.</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w:t>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quantidades estimadas, bem como todas as informações complementares para o regular fornecimento do objeto deste Termo de Referência estão descritas no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ANEXO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Ressalta-se que as especificações dos materiais poderão desde que não alterem a qualidade do produto, apresentar medidas aproximadas (variação máxima de 10% para mais/menos)”.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DA LICITAÇÃO E CRITÉRIO DE JULGAMENTO</w:t>
      </w:r>
    </w:p>
    <w:p w:rsidR="00000000" w:rsidDel="00000000" w:rsidP="00000000" w:rsidRDefault="00000000" w:rsidRPr="00000000" w14:paraId="00000020">
      <w:pPr>
        <w:numPr>
          <w:ilvl w:val="1"/>
          <w:numId w:val="2"/>
        </w:numPr>
        <w:spacing w:after="0" w:afterAutospacing="0"/>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000000" w:rsidDel="00000000" w:rsidP="00000000" w:rsidRDefault="00000000" w:rsidRPr="00000000" w14:paraId="00000021">
      <w:pPr>
        <w:numPr>
          <w:ilvl w:val="1"/>
          <w:numId w:val="2"/>
        </w:numPr>
        <w:spacing w:after="0" w:afterAutospacing="0" w:before="0" w:beforeAutospacing="0" w:line="276"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O pregão eletrônico ocorrerá sob o </w:t>
      </w:r>
      <w:r w:rsidDel="00000000" w:rsidR="00000000" w:rsidRPr="00000000">
        <w:rPr>
          <w:rFonts w:ascii="Calibri" w:cs="Calibri" w:eastAsia="Calibri" w:hAnsi="Calibri"/>
          <w:sz w:val="22"/>
          <w:szCs w:val="22"/>
          <w:u w:val="single"/>
          <w:rtl w:val="0"/>
        </w:rPr>
        <w:t xml:space="preserve">modo de disputa Aberto e Fechado</w:t>
      </w:r>
      <w:r w:rsidDel="00000000" w:rsidR="00000000" w:rsidRPr="00000000">
        <w:rPr>
          <w:rFonts w:ascii="Calibri" w:cs="Calibri" w:eastAsia="Calibri" w:hAnsi="Calibri"/>
          <w:sz w:val="22"/>
          <w:szCs w:val="22"/>
          <w:rtl w:val="0"/>
        </w:rPr>
        <w:t xml:space="preserve">, onde os licitantes apresentarão lances públicos e sucessivos, com lance final e fechado.</w:t>
      </w:r>
    </w:p>
    <w:p w:rsidR="00000000" w:rsidDel="00000000" w:rsidP="00000000" w:rsidRDefault="00000000" w:rsidRPr="00000000" w14:paraId="00000022">
      <w:pPr>
        <w:numPr>
          <w:ilvl w:val="2"/>
          <w:numId w:val="2"/>
        </w:numPr>
        <w:spacing w:after="0" w:afterAutospacing="0" w:before="0" w:beforeAutospacing="0" w:line="276" w:lineRule="auto"/>
        <w:ind w:left="862" w:hanging="72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0000" w:rsidDel="00000000" w:rsidP="00000000" w:rsidRDefault="00000000" w:rsidRPr="00000000" w14:paraId="00000023">
      <w:pPr>
        <w:numPr>
          <w:ilvl w:val="1"/>
          <w:numId w:val="2"/>
        </w:numPr>
        <w:spacing w:after="0" w:afterAutospacing="0" w:before="0" w:beforeAutospacing="0" w:line="276"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Pelo interesse da administração pública, os valores de referência não serão divulgados.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DOTAÇÃO ORÇAMENTÁRIA </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e Entidades do Município de Maceió participantes da Ata de Registro de Preços.</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CONDIÇÕES DE FORNECIMENTO </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julgar necessário o Órgão Contratante solicitará, durante a vigência da ARP, o fornecimento dos produtos registrados na quantidade necessária, mediante a elaboração do instrumento contratual.</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w:t>
      </w:r>
      <w:r w:rsidDel="00000000" w:rsidR="00000000" w:rsidRPr="00000000">
        <w:rPr>
          <w:rFonts w:ascii="Calibri" w:cs="Calibri" w:eastAsia="Calibri" w:hAnsi="Calibri"/>
          <w:sz w:val="22"/>
          <w:szCs w:val="22"/>
          <w:rtl w:val="0"/>
        </w:rPr>
        <w:t xml:space="preserve">ontratante não estará obrigada a adquirir os serviços registrados, contudo, ao fazê-lo,  cada participante solicitará individualmente um percentual mínimo de 1% (um por cento) do quantitativo que se encontra registrado para cada órgão.</w:t>
      </w:r>
      <w:r w:rsidDel="00000000" w:rsidR="00000000" w:rsidRPr="00000000">
        <w:rPr>
          <w:rtl w:val="0"/>
        </w:rPr>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para entrega deverá ser de até 30 (trinta) dias, contados do recebimento da Nota de Empenho/Ordem de Fornecimento (via e-mail ou correios) ou retirado na sede da Contratante; </w:t>
      </w:r>
    </w:p>
    <w:p w:rsidR="00000000" w:rsidDel="00000000" w:rsidP="00000000" w:rsidRDefault="00000000" w:rsidRPr="00000000" w14:paraId="0000002D">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ser entregues ao servidor responsável pelo recebimento em cada Órgão ou Entidade do Município de Maceió, acompanhados da documentação fiscal, juntamente com cópia da Nota de Empenho/Ordem de Fornecimento, no horário das 08h00 às 14h00 de segunda-feira a sexta-feira.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DO OBJETO</w:t>
      </w:r>
    </w:p>
    <w:p w:rsidR="00000000" w:rsidDel="00000000" w:rsidP="00000000" w:rsidRDefault="00000000" w:rsidRPr="00000000" w14:paraId="00000030">
      <w:pPr>
        <w:keepNext w:val="0"/>
        <w:keepLines w:val="0"/>
        <w:widowControl w:val="1"/>
        <w:numPr>
          <w:ilvl w:val="2"/>
          <w:numId w:val="5"/>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objeto(s) serão recebidos pelo servidor responsável no ato da entrega:</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Provisoriamente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ato da entrega, para efeito de posterior verificação da conformidade dos mesmos com as especificações requeridas neste documento; </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Definitivamente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verificação da qualidade e quantidade do material e consequente aceitação, no prazo de até 05 (cinco) dia úteis. Só então será atestada a nota fiscal. </w:t>
      </w:r>
    </w:p>
    <w:p w:rsidR="00000000" w:rsidDel="00000000" w:rsidP="00000000" w:rsidRDefault="00000000" w:rsidRPr="00000000" w14:paraId="0000003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recusados os materiais que apresentarem defeitos ou cujas especificações não atendam às descrições do objeto contratado. </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materiais, não importa em sua aceitação. A critério da Contratante, os produtos fornecidos serão submetidos à verificação. Cabe a Contratada a substituição dos produtos que vierem a ser recusados, no prazo máximo de 10 (dez) dias úteis, contados da solicitação.</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atender aos dispositivos da Lei nº 8.078/90 (Código de Defesa do Consumidor) e às demais legislação pertinentes.</w:t>
      </w:r>
    </w:p>
    <w:p w:rsidR="00000000" w:rsidDel="00000000" w:rsidP="00000000" w:rsidRDefault="00000000" w:rsidRPr="00000000" w14:paraId="0000003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ser acondicionados conforme praxe do fabricante devendo garantir proteção durante transporte e estocagem, constando a identificação do produto e demais informações exigidas na legislação em vigor.</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HABILITAÇÃO </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licitantes deverão apresentar no mínimo um atestado assinado e carimbado emitido por pessoa jurídica de direito público ou privado, que comprove que a mesma forneceu ou está fornecendo, de maneira satisfatória,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Crachás de Identificação Funcional.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p>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ARP em até 05 (cinco) dias contados da convocação para sua formalização pela Contratante.</w:t>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de uso, em estrita observância às especificações deste Termo de Referência;</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4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da contratação nas condições pactuadas neste documento;</w:t>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Responder por danos causados diretamente à Contratante ou a terceiros, decorrentes de sua culpa ou dolo, quando da execução contratual;</w:t>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execução contratual;</w:t>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5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w:t>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 na forma da Lei;</w:t>
      </w:r>
    </w:p>
    <w:p w:rsidR="00000000" w:rsidDel="00000000" w:rsidP="00000000" w:rsidRDefault="00000000" w:rsidRPr="00000000" w14:paraId="0000004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4E">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4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50">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 objeto de acordo com as especificações descritas neste documento;</w:t>
      </w:r>
    </w:p>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nas dependências da Contratante para entrega do objeto deste Termo de Referência, desde que uniformizados e identificados com crachá;</w:t>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5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a entrega do objeto, por intermédio de representante especialmente designado;</w:t>
      </w:r>
    </w:p>
    <w:p w:rsidR="00000000" w:rsidDel="00000000" w:rsidP="00000000" w:rsidRDefault="00000000" w:rsidRPr="00000000" w14:paraId="0000005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2"/>
        </w:numPr>
        <w:pBdr>
          <w:top w:space="0" w:sz="0" w:val="nil"/>
          <w:left w:space="0" w:sz="0" w:val="nil"/>
          <w:bottom w:color="000000" w:space="0" w:sz="4" w:val="single"/>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05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5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DE PREÇOS</w:t>
      </w:r>
    </w:p>
    <w:p w:rsidR="00000000" w:rsidDel="00000000" w:rsidP="00000000" w:rsidRDefault="00000000" w:rsidRPr="00000000" w14:paraId="0000005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somente ocorrerá entre os órgãos e entidades da Administração Pública Municipal de Maceió.</w:t>
      </w:r>
    </w:p>
    <w:p w:rsidR="00000000" w:rsidDel="00000000" w:rsidP="00000000" w:rsidRDefault="00000000" w:rsidRPr="00000000" w14:paraId="0000006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11.3 somente poderá ser feito de órgão participante para órgão participante e de órgão participante para órgão não participante.</w:t>
      </w:r>
    </w:p>
    <w:p w:rsidR="00000000" w:rsidDel="00000000" w:rsidP="00000000" w:rsidRDefault="00000000" w:rsidRPr="00000000" w14:paraId="0000006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 </w:t>
      </w:r>
    </w:p>
    <w:p w:rsidR="00000000" w:rsidDel="00000000" w:rsidP="00000000" w:rsidRDefault="00000000" w:rsidRPr="00000000" w14:paraId="0000006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na Rua Eng. Roberto Gonçalves Menezes, 71, Centro, Maceió-AL, CEP 57020-680.</w:t>
      </w:r>
    </w:p>
    <w:p w:rsidR="00000000" w:rsidDel="00000000" w:rsidP="00000000" w:rsidRDefault="00000000" w:rsidRPr="00000000" w14:paraId="0000006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6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6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5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p>
    <w:p w:rsidR="00000000" w:rsidDel="00000000" w:rsidP="00000000" w:rsidRDefault="00000000" w:rsidRPr="00000000" w14:paraId="0000006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termo de contrato será substituído por Nota de Empenho e/ou por Ordem de Fornecimento.</w:t>
      </w:r>
    </w:p>
    <w:p w:rsidR="00000000" w:rsidDel="00000000" w:rsidP="00000000" w:rsidRDefault="00000000" w:rsidRPr="00000000" w14:paraId="0000006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aceitar ou retirar a Nota de Empenho e /ou por Ordem de Fornecimento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6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5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 / ACOMPANHAMENTO DO FORNECIMENTO</w:t>
      </w:r>
    </w:p>
    <w:p w:rsidR="00000000" w:rsidDel="00000000" w:rsidP="00000000" w:rsidRDefault="00000000" w:rsidRPr="00000000" w14:paraId="0000006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por servidor a ser designado pelo Gestor da Pasta.</w:t>
      </w:r>
      <w:r w:rsidDel="00000000" w:rsidR="00000000" w:rsidRPr="00000000">
        <w:rPr>
          <w:rtl w:val="0"/>
        </w:rPr>
      </w:r>
    </w:p>
    <w:p w:rsidR="00000000" w:rsidDel="00000000" w:rsidP="00000000" w:rsidRDefault="00000000" w:rsidRPr="00000000" w14:paraId="0000006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acompanhamento da entrega do objeto quanto à qualidade e quantidade desejada; </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da contratação e indicar os procedimentos necessários ao seu correto cumprimento; </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à Administração a aplicação de penalidades por descumprimento das obrigações assumidas; </w:t>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assumidas; </w:t>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à entrega do objeto para efeito de pagamentos; </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neste Termo ou que forem entregues em quantidades divergentes daquelas constantes na ordem de fornecimento;</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 DOS ACRÉSCIMOS OU SUPRESSÕES</w:t>
      </w:r>
    </w:p>
    <w:p w:rsidR="00000000" w:rsidDel="00000000" w:rsidP="00000000" w:rsidRDefault="00000000" w:rsidRPr="00000000" w14:paraId="0000007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da Ata</w:t>
      </w:r>
    </w:p>
    <w:p w:rsidR="00000000" w:rsidDel="00000000" w:rsidP="00000000" w:rsidRDefault="00000000" w:rsidRPr="00000000" w14:paraId="0000007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o período mencionado no “caput”, será admitido o reajuste, utilizando-se como base o IPCA (Índice de Preços ao Consumidor Amplo).</w:t>
      </w:r>
    </w:p>
    <w:p w:rsidR="00000000" w:rsidDel="00000000" w:rsidP="00000000" w:rsidRDefault="00000000" w:rsidRPr="00000000" w14:paraId="0000007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da ata, tencionando o reequilíbrio econômico financeiro, desde que haja incidência de fato imprevisível e devidamente justificado, conforme art. 37, XXI, DA CF/88, arts. 57,§§ 1º e 2º, 65, II, “d” e § 6º, todos da Lei n.8666/93 e arts. 17/19 do Decreto Municipal nº 7.496/2013.</w:t>
      </w:r>
    </w:p>
    <w:p w:rsidR="00000000" w:rsidDel="00000000" w:rsidP="00000000" w:rsidRDefault="00000000" w:rsidRPr="00000000" w14:paraId="0000007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5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p>
    <w:p w:rsidR="00000000" w:rsidDel="00000000" w:rsidP="00000000" w:rsidRDefault="00000000" w:rsidRPr="00000000" w14:paraId="0000008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inexecução parcial ou total das condições pactuadas, erro ou demora na execução do Contratual, garantida a prévia defesa, ficará a Contratada sujeita às sanções indicadas abaixo, sem prejuízo de outras previstas na legislação vigente:</w:t>
      </w:r>
      <w:r w:rsidDel="00000000" w:rsidR="00000000" w:rsidRPr="00000000">
        <w:rPr>
          <w:rtl w:val="0"/>
        </w:rPr>
      </w:r>
    </w:p>
    <w:p w:rsidR="00000000" w:rsidDel="00000000" w:rsidP="00000000" w:rsidRDefault="00000000" w:rsidRPr="00000000" w14:paraId="0000008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falhas ou irregularidades que não acarretem prejuízos à Administração;</w:t>
      </w:r>
    </w:p>
    <w:p w:rsidR="00000000" w:rsidDel="00000000" w:rsidP="00000000" w:rsidRDefault="00000000" w:rsidRPr="00000000" w14:paraId="0000008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na entrega do produto em relação ao prazo estipulado: 1% (um por cento) do valor do produto não entregue, por dia decorrido, até o limite de 10% (dez por cento);</w:t>
      </w:r>
    </w:p>
    <w:p w:rsidR="00000000" w:rsidDel="00000000" w:rsidP="00000000" w:rsidRDefault="00000000" w:rsidRPr="00000000" w14:paraId="0000008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recusa em efetuar o fornecimento e/ou pela não entrega do produto, caracterizada em dez dias após o vencimento do prazo de entrega estipulado: 10% (dez por cento) do valor do </w:t>
      </w:r>
      <w:r w:rsidDel="00000000" w:rsidR="00000000" w:rsidRPr="00000000">
        <w:rPr>
          <w:rFonts w:ascii="Calibri" w:cs="Calibri" w:eastAsia="Calibri" w:hAnsi="Calibri"/>
          <w:sz w:val="22"/>
          <w:szCs w:val="22"/>
          <w:rtl w:val="0"/>
        </w:rPr>
        <w:t xml:space="preserve">pedido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demora em substituir o produto rejeitado, a contar do primeiro dia após o vencimento do prazo estipulado para a substituição: 2% (dois por cento) do valor do produto recusado, por dia decorrido, até o limite de 10% (dez por cento);</w:t>
      </w:r>
    </w:p>
    <w:p w:rsidR="00000000" w:rsidDel="00000000" w:rsidP="00000000" w:rsidRDefault="00000000" w:rsidRPr="00000000" w14:paraId="0000008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não cumprimento de qualquer condição fixada neste Termo de Referência e não abrangida nas alíneas anteriores: 1% (um por cento) do valor contratado, para cada evento;</w:t>
      </w:r>
    </w:p>
    <w:p w:rsidR="00000000" w:rsidDel="00000000" w:rsidP="00000000" w:rsidRDefault="00000000" w:rsidRPr="00000000" w14:paraId="0000008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8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8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ocorrência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rsidR="00000000" w:rsidDel="00000000" w:rsidP="00000000" w:rsidRDefault="00000000" w:rsidRPr="00000000" w14:paraId="0000008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“f” e “g” poderão ser aplicadas cumulativamente com quaisquer das multas previstas nas alíneas “b” a “e”.</w:t>
      </w:r>
    </w:p>
    <w:p w:rsidR="00000000" w:rsidDel="00000000" w:rsidP="00000000" w:rsidRDefault="00000000" w:rsidRPr="00000000" w14:paraId="0000008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contratual, no qual será assegurado à futura contratada o contraditório e a ampla defesa.</w:t>
      </w:r>
    </w:p>
    <w:p w:rsidR="00000000" w:rsidDel="00000000" w:rsidP="00000000" w:rsidRDefault="00000000" w:rsidRPr="00000000" w14:paraId="000000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8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deverá ser cancelada ou rescindido, exceto se houver justificado interesse público em manter a avença, hipótese em que será aplicada multa.</w:t>
      </w:r>
    </w:p>
    <w:p w:rsidR="00000000" w:rsidDel="00000000" w:rsidP="00000000" w:rsidRDefault="00000000" w:rsidRPr="00000000" w14:paraId="0000008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8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9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do contratual, comportar-se de modo inidôneo, fizer declaração falsa ou cometer fraude fiscal; e</w:t>
      </w:r>
    </w:p>
    <w:p w:rsidR="00000000" w:rsidDel="00000000" w:rsidP="00000000" w:rsidRDefault="00000000" w:rsidRPr="00000000" w14:paraId="0000009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9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15.8, alínea “c”, poderá ser aumentado em até 5 (cinco) anos.</w:t>
      </w:r>
    </w:p>
    <w:p w:rsidR="00000000" w:rsidDel="00000000" w:rsidP="00000000" w:rsidRDefault="00000000" w:rsidRPr="00000000" w14:paraId="0000009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9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9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98">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50" w:before="0" w:line="240" w:lineRule="auto"/>
        <w:ind w:left="360"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99">
      <w:pPr>
        <w:numPr>
          <w:ilvl w:val="0"/>
          <w:numId w:val="2"/>
        </w:numPr>
        <w:pBdr>
          <w:bottom w:color="000000" w:space="1" w:sz="4" w:val="single"/>
        </w:pBdr>
        <w:tabs>
          <w:tab w:val="left" w:pos="284"/>
        </w:tabs>
        <w:ind w:left="3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DISPOSIÇÕES GERAIS/INFORMAÇÕES COMPLEMENTARES</w:t>
      </w:r>
    </w:p>
    <w:p w:rsidR="00000000" w:rsidDel="00000000" w:rsidP="00000000" w:rsidRDefault="00000000" w:rsidRPr="00000000" w14:paraId="0000009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9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w:t>
      </w:r>
      <w:r w:rsidDel="00000000" w:rsidR="00000000" w:rsidRPr="00000000">
        <w:rPr>
          <w:rFonts w:ascii="Calibri" w:cs="Calibri" w:eastAsia="Calibri" w:hAnsi="Calibri"/>
          <w:sz w:val="22"/>
          <w:szCs w:val="22"/>
          <w:rtl w:val="0"/>
        </w:rPr>
        <w:t xml:space="preserve">3312-5100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tabs>
          <w:tab w:val="left" w:pos="28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Maceió, 16 de abril de 2020</w:t>
      </w:r>
    </w:p>
    <w:p w:rsidR="00000000" w:rsidDel="00000000" w:rsidP="00000000" w:rsidRDefault="00000000" w:rsidRPr="00000000" w14:paraId="0000009E">
      <w:pPr>
        <w:tabs>
          <w:tab w:val="left" w:pos="5510"/>
        </w:tabs>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9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Diego Passos Lima</w:t>
      </w:r>
    </w:p>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Gerente de Planejamento e Contratações</w:t>
      </w:r>
    </w:p>
    <w:p w:rsidR="00000000" w:rsidDel="00000000" w:rsidP="00000000" w:rsidRDefault="00000000" w:rsidRPr="00000000" w14:paraId="000000A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 DESCRIÇÃO DOS PRODUTOS E QUANTITATIVOS</w:t>
      </w:r>
    </w:p>
    <w:p w:rsidR="00000000" w:rsidDel="00000000" w:rsidP="00000000" w:rsidRDefault="00000000" w:rsidRPr="00000000" w14:paraId="000000A4">
      <w:pPr>
        <w:tabs>
          <w:tab w:val="left" w:pos="284"/>
        </w:tabs>
        <w:spacing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OBJETO: </w:t>
      </w:r>
      <w:r w:rsidDel="00000000" w:rsidR="00000000" w:rsidRPr="00000000">
        <w:rPr>
          <w:rFonts w:ascii="Calibri" w:cs="Calibri" w:eastAsia="Calibri" w:hAnsi="Calibri"/>
          <w:sz w:val="22"/>
          <w:szCs w:val="22"/>
          <w:rtl w:val="0"/>
        </w:rPr>
        <w:t xml:space="preserve">O objeto perfaz registrar preços para aquisição de </w:t>
      </w:r>
      <w:r w:rsidDel="00000000" w:rsidR="00000000" w:rsidRPr="00000000">
        <w:rPr>
          <w:rFonts w:ascii="Calibri" w:cs="Calibri" w:eastAsia="Calibri" w:hAnsi="Calibri"/>
          <w:b w:val="1"/>
          <w:sz w:val="22"/>
          <w:szCs w:val="22"/>
          <w:rtl w:val="0"/>
        </w:rPr>
        <w:t xml:space="preserve">Crachás de identificação funcional</w:t>
      </w:r>
      <w:r w:rsidDel="00000000" w:rsidR="00000000" w:rsidRPr="00000000">
        <w:rPr>
          <w:rFonts w:ascii="Calibri" w:cs="Calibri" w:eastAsia="Calibri" w:hAnsi="Calibri"/>
          <w:sz w:val="22"/>
          <w:szCs w:val="22"/>
          <w:rtl w:val="0"/>
        </w:rPr>
        <w:t xml:space="preserve">, para atendimento aos diversos Órgãos e Entidades da Administração Pública do Município de Maceió, nas especificações e quantidades constantes abaixo:</w:t>
      </w:r>
    </w:p>
    <w:p w:rsidR="00000000" w:rsidDel="00000000" w:rsidP="00000000" w:rsidRDefault="00000000" w:rsidRPr="00000000" w14:paraId="000000A5">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widowControl w:val="0"/>
        <w:rPr>
          <w:rFonts w:ascii="Calibri" w:cs="Calibri" w:eastAsia="Calibri" w:hAnsi="Calibri"/>
          <w:b w:val="1"/>
          <w:sz w:val="22"/>
          <w:szCs w:val="22"/>
        </w:rPr>
      </w:pPr>
      <w:r w:rsidDel="00000000" w:rsidR="00000000" w:rsidRPr="00000000">
        <w:rPr>
          <w:rtl w:val="0"/>
        </w:rPr>
      </w:r>
    </w:p>
    <w:tbl>
      <w:tblPr>
        <w:tblStyle w:val="Table1"/>
        <w:tblW w:w="9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384"/>
        <w:gridCol w:w="1420"/>
        <w:gridCol w:w="1420"/>
        <w:tblGridChange w:id="0">
          <w:tblGrid>
            <w:gridCol w:w="846"/>
            <w:gridCol w:w="5384"/>
            <w:gridCol w:w="1420"/>
            <w:gridCol w:w="1420"/>
          </w:tblGrid>
        </w:tblGridChange>
      </w:tblGrid>
      <w:tr>
        <w:tc>
          <w:tcPr/>
          <w:p w:rsidR="00000000" w:rsidDel="00000000" w:rsidP="00000000" w:rsidRDefault="00000000" w:rsidRPr="00000000" w14:paraId="000000A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w:t>
            </w:r>
          </w:p>
        </w:tc>
        <w:tc>
          <w:tcPr/>
          <w:p w:rsidR="00000000" w:rsidDel="00000000" w:rsidP="00000000" w:rsidRDefault="00000000" w:rsidRPr="00000000" w14:paraId="000000A9">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Descrição</w:t>
            </w:r>
          </w:p>
        </w:tc>
        <w:tc>
          <w:tcPr/>
          <w:p w:rsidR="00000000" w:rsidDel="00000000" w:rsidP="00000000" w:rsidRDefault="00000000" w:rsidRPr="00000000" w14:paraId="000000AA">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Unidade de medida</w:t>
            </w:r>
          </w:p>
        </w:tc>
        <w:tc>
          <w:tcPr/>
          <w:p w:rsidR="00000000" w:rsidDel="00000000" w:rsidP="00000000" w:rsidRDefault="00000000" w:rsidRPr="00000000" w14:paraId="000000AB">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Quantidade</w:t>
            </w:r>
          </w:p>
        </w:tc>
      </w:tr>
      <w:tr>
        <w:tc>
          <w:tcPr/>
          <w:p w:rsidR="00000000" w:rsidDel="00000000" w:rsidP="00000000" w:rsidRDefault="00000000" w:rsidRPr="00000000" w14:paraId="000000AC">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p w:rsidR="00000000" w:rsidDel="00000000" w:rsidP="00000000" w:rsidRDefault="00000000" w:rsidRPr="00000000" w14:paraId="000000AD">
            <w:pPr>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Crachás personalizados de Identificação Funcional, </w:t>
            </w:r>
            <w:r w:rsidDel="00000000" w:rsidR="00000000" w:rsidRPr="00000000">
              <w:rPr>
                <w:rFonts w:ascii="Calibri" w:cs="Calibri" w:eastAsia="Calibri" w:hAnsi="Calibri"/>
                <w:sz w:val="22"/>
                <w:szCs w:val="22"/>
                <w:rtl w:val="0"/>
              </w:rPr>
              <w:t xml:space="preserve">confeccionado em PVC, colorido, medidas aproximadas 54x86mm, personalização a saber, apresentação vertical.</w:t>
            </w:r>
          </w:p>
          <w:p w:rsidR="00000000" w:rsidDel="00000000" w:rsidP="00000000" w:rsidRDefault="00000000" w:rsidRPr="00000000" w14:paraId="000000A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Frente: Foto digitalizada do servidor, nome e cargo; brasão do município e identificação do órgão.</w:t>
            </w:r>
          </w:p>
          <w:p w:rsidR="00000000" w:rsidDel="00000000" w:rsidP="00000000" w:rsidRDefault="00000000" w:rsidRPr="00000000" w14:paraId="000000AF">
            <w:pPr>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Catmat: </w:t>
            </w:r>
            <w:r w:rsidDel="00000000" w:rsidR="00000000" w:rsidRPr="00000000">
              <w:rPr>
                <w:rFonts w:ascii="Raleway" w:cs="Raleway" w:eastAsia="Raleway" w:hAnsi="Raleway"/>
                <w:b w:val="1"/>
                <w:color w:val="55774c"/>
                <w:sz w:val="19"/>
                <w:szCs w:val="19"/>
                <w:highlight w:val="white"/>
                <w:rtl w:val="0"/>
              </w:rPr>
              <w:t xml:space="preserve">150788</w:t>
            </w:r>
            <w:r w:rsidDel="00000000" w:rsidR="00000000" w:rsidRPr="00000000">
              <w:rPr>
                <w:rtl w:val="0"/>
              </w:rPr>
            </w:r>
          </w:p>
        </w:tc>
        <w:tc>
          <w:tcPr/>
          <w:p w:rsidR="00000000" w:rsidDel="00000000" w:rsidP="00000000" w:rsidRDefault="00000000" w:rsidRPr="00000000" w14:paraId="000000B0">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w:t>
            </w:r>
          </w:p>
        </w:tc>
        <w:tc>
          <w:tcPr/>
          <w:p w:rsidR="00000000" w:rsidDel="00000000" w:rsidP="00000000" w:rsidRDefault="00000000" w:rsidRPr="00000000" w14:paraId="000000B1">
            <w:pPr>
              <w:widowControl w:val="0"/>
              <w:jc w:val="center"/>
              <w:rPr>
                <w:rFonts w:ascii="Calibri" w:cs="Calibri" w:eastAsia="Calibri" w:hAnsi="Calibri"/>
                <w:b w:val="1"/>
                <w:sz w:val="22"/>
                <w:szCs w:val="22"/>
              </w:rPr>
            </w:pPr>
            <w:r w:rsidDel="00000000" w:rsidR="00000000" w:rsidRPr="00000000">
              <w:rPr>
                <w:rtl w:val="0"/>
              </w:rPr>
            </w:r>
          </w:p>
        </w:tc>
      </w:tr>
      <w:tr>
        <w:tc>
          <w:tcPr/>
          <w:p w:rsidR="00000000" w:rsidDel="00000000" w:rsidP="00000000" w:rsidRDefault="00000000" w:rsidRPr="00000000" w14:paraId="000000B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p w:rsidR="00000000" w:rsidDel="00000000" w:rsidP="00000000" w:rsidRDefault="00000000" w:rsidRPr="00000000" w14:paraId="000000B3">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Crachás Personalizados de Identificação de Visitantes;</w:t>
            </w:r>
          </w:p>
          <w:p w:rsidR="00000000" w:rsidDel="00000000" w:rsidP="00000000" w:rsidRDefault="00000000" w:rsidRPr="00000000" w14:paraId="000000B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confeccionado em PVC, colorido, medidas aproximadas 54x86mm, personalização a saber, apresentação vertical.</w:t>
            </w:r>
          </w:p>
          <w:p w:rsidR="00000000" w:rsidDel="00000000" w:rsidP="00000000" w:rsidRDefault="00000000" w:rsidRPr="00000000" w14:paraId="000000B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Frente: Título “VISITANTE”, identificação numérica; brasão do município e identificação do órgão.</w:t>
            </w:r>
          </w:p>
          <w:p w:rsidR="00000000" w:rsidDel="00000000" w:rsidP="00000000" w:rsidRDefault="00000000" w:rsidRPr="00000000" w14:paraId="000000B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Verso: Demais números de identificação sequencial e informações sobre o bom uso do item.</w:t>
            </w:r>
          </w:p>
          <w:p w:rsidR="00000000" w:rsidDel="00000000" w:rsidP="00000000" w:rsidRDefault="00000000" w:rsidRPr="00000000" w14:paraId="000000B7">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 </w:t>
            </w:r>
            <w:r w:rsidDel="00000000" w:rsidR="00000000" w:rsidRPr="00000000">
              <w:rPr>
                <w:rFonts w:ascii="Raleway" w:cs="Raleway" w:eastAsia="Raleway" w:hAnsi="Raleway"/>
                <w:b w:val="1"/>
                <w:color w:val="55774c"/>
                <w:sz w:val="19"/>
                <w:szCs w:val="19"/>
                <w:highlight w:val="white"/>
                <w:rtl w:val="0"/>
              </w:rPr>
              <w:t xml:space="preserve">150788</w:t>
            </w:r>
            <w:r w:rsidDel="00000000" w:rsidR="00000000" w:rsidRPr="00000000">
              <w:rPr>
                <w:rtl w:val="0"/>
              </w:rPr>
            </w:r>
          </w:p>
        </w:tc>
        <w:tc>
          <w:tcPr/>
          <w:p w:rsidR="00000000" w:rsidDel="00000000" w:rsidP="00000000" w:rsidRDefault="00000000" w:rsidRPr="00000000" w14:paraId="000000B8">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w:t>
            </w:r>
          </w:p>
        </w:tc>
        <w:tc>
          <w:tcPr/>
          <w:p w:rsidR="00000000" w:rsidDel="00000000" w:rsidP="00000000" w:rsidRDefault="00000000" w:rsidRPr="00000000" w14:paraId="000000B9">
            <w:pPr>
              <w:widowControl w:val="0"/>
              <w:jc w:val="center"/>
              <w:rPr>
                <w:rFonts w:ascii="Calibri" w:cs="Calibri" w:eastAsia="Calibri" w:hAnsi="Calibri"/>
                <w:b w:val="1"/>
                <w:sz w:val="22"/>
                <w:szCs w:val="22"/>
              </w:rPr>
            </w:pPr>
            <w:r w:rsidDel="00000000" w:rsidR="00000000" w:rsidRPr="00000000">
              <w:rPr>
                <w:rtl w:val="0"/>
              </w:rPr>
            </w:r>
          </w:p>
        </w:tc>
      </w:tr>
      <w:tr>
        <w:tc>
          <w:tcPr/>
          <w:p w:rsidR="00000000" w:rsidDel="00000000" w:rsidP="00000000" w:rsidRDefault="00000000" w:rsidRPr="00000000" w14:paraId="000000BA">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0BB">
            <w:pPr>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Cordão personalizado, </w:t>
            </w:r>
            <w:r w:rsidDel="00000000" w:rsidR="00000000" w:rsidRPr="00000000">
              <w:rPr>
                <w:rFonts w:ascii="Calibri" w:cs="Calibri" w:eastAsia="Calibri" w:hAnsi="Calibri"/>
                <w:sz w:val="22"/>
                <w:szCs w:val="22"/>
                <w:rtl w:val="0"/>
              </w:rPr>
              <w:t xml:space="preserve">equipado com clips e com acabamento por solda reforçado com fixador metálico. </w:t>
            </w:r>
          </w:p>
          <w:p w:rsidR="00000000" w:rsidDel="00000000" w:rsidP="00000000" w:rsidRDefault="00000000" w:rsidRPr="00000000" w14:paraId="000000B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 preta com impressão branca, confeccionado em Poliéster ou Acetinado, impressão em SILKSCREEN. Medida Padrão de 10mmx85cm (aberto).</w:t>
            </w:r>
          </w:p>
          <w:p w:rsidR="00000000" w:rsidDel="00000000" w:rsidP="00000000" w:rsidRDefault="00000000" w:rsidRPr="00000000" w14:paraId="000000BD">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 </w:t>
            </w:r>
            <w:r w:rsidDel="00000000" w:rsidR="00000000" w:rsidRPr="00000000">
              <w:rPr>
                <w:rFonts w:ascii="Raleway" w:cs="Raleway" w:eastAsia="Raleway" w:hAnsi="Raleway"/>
                <w:b w:val="1"/>
                <w:color w:val="55774c"/>
                <w:sz w:val="19"/>
                <w:szCs w:val="19"/>
                <w:highlight w:val="white"/>
                <w:rtl w:val="0"/>
              </w:rPr>
              <w:t xml:space="preserve">22810</w:t>
            </w:r>
            <w:r w:rsidDel="00000000" w:rsidR="00000000" w:rsidRPr="00000000">
              <w:rPr>
                <w:rtl w:val="0"/>
              </w:rPr>
            </w:r>
          </w:p>
        </w:tc>
        <w:tc>
          <w:tcPr/>
          <w:p w:rsidR="00000000" w:rsidDel="00000000" w:rsidP="00000000" w:rsidRDefault="00000000" w:rsidRPr="00000000" w14:paraId="000000BE">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w:t>
            </w:r>
          </w:p>
        </w:tc>
        <w:tc>
          <w:tcPr/>
          <w:p w:rsidR="00000000" w:rsidDel="00000000" w:rsidP="00000000" w:rsidRDefault="00000000" w:rsidRPr="00000000" w14:paraId="000000BF">
            <w:pPr>
              <w:widowControl w:val="0"/>
              <w:jc w:val="center"/>
              <w:rPr>
                <w:rFonts w:ascii="Calibri" w:cs="Calibri" w:eastAsia="Calibri" w:hAnsi="Calibri"/>
                <w:b w:val="1"/>
                <w:sz w:val="22"/>
                <w:szCs w:val="22"/>
              </w:rPr>
            </w:pPr>
            <w:r w:rsidDel="00000000" w:rsidR="00000000" w:rsidRPr="00000000">
              <w:rPr>
                <w:rtl w:val="0"/>
              </w:rPr>
            </w:r>
          </w:p>
        </w:tc>
      </w:tr>
      <w:tr>
        <w:tc>
          <w:tcPr/>
          <w:p w:rsidR="00000000" w:rsidDel="00000000" w:rsidP="00000000" w:rsidRDefault="00000000" w:rsidRPr="00000000" w14:paraId="000000C0">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p w:rsidR="00000000" w:rsidDel="00000000" w:rsidP="00000000" w:rsidRDefault="00000000" w:rsidRPr="00000000" w14:paraId="000000C1">
            <w:pPr>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Presilha </w:t>
            </w:r>
            <w:r w:rsidDel="00000000" w:rsidR="00000000" w:rsidRPr="00000000">
              <w:rPr>
                <w:rFonts w:ascii="Calibri" w:cs="Calibri" w:eastAsia="Calibri" w:hAnsi="Calibri"/>
                <w:sz w:val="22"/>
                <w:szCs w:val="22"/>
                <w:rtl w:val="0"/>
              </w:rPr>
              <w:t xml:space="preserve">tipo “jacaré”, clips leitosos.</w:t>
            </w:r>
          </w:p>
          <w:p w:rsidR="00000000" w:rsidDel="00000000" w:rsidP="00000000" w:rsidRDefault="00000000" w:rsidRPr="00000000" w14:paraId="000000C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p>
        </w:tc>
        <w:tc>
          <w:tcPr/>
          <w:p w:rsidR="00000000" w:rsidDel="00000000" w:rsidP="00000000" w:rsidRDefault="00000000" w:rsidRPr="00000000" w14:paraId="000000C3">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w:t>
            </w:r>
          </w:p>
        </w:tc>
        <w:tc>
          <w:tcPr/>
          <w:p w:rsidR="00000000" w:rsidDel="00000000" w:rsidP="00000000" w:rsidRDefault="00000000" w:rsidRPr="00000000" w14:paraId="000000C4">
            <w:pPr>
              <w:widowControl w:val="0"/>
              <w:jc w:val="center"/>
              <w:rPr>
                <w:rFonts w:ascii="Calibri" w:cs="Calibri" w:eastAsia="Calibri" w:hAnsi="Calibri"/>
                <w:b w:val="1"/>
                <w:sz w:val="22"/>
                <w:szCs w:val="22"/>
              </w:rPr>
            </w:pPr>
            <w:r w:rsidDel="00000000" w:rsidR="00000000" w:rsidRPr="00000000">
              <w:rPr>
                <w:rtl w:val="0"/>
              </w:rPr>
            </w:r>
          </w:p>
        </w:tc>
      </w:tr>
      <w:tr>
        <w:tc>
          <w:tcPr/>
          <w:p w:rsidR="00000000" w:rsidDel="00000000" w:rsidP="00000000" w:rsidRDefault="00000000" w:rsidRPr="00000000" w14:paraId="000000C5">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p w:rsidR="00000000" w:rsidDel="00000000" w:rsidP="00000000" w:rsidRDefault="00000000" w:rsidRPr="00000000" w14:paraId="000000C6">
            <w:pPr>
              <w:widowControl w:val="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Protetor de cartão transparente</w:t>
            </w:r>
            <w:r w:rsidDel="00000000" w:rsidR="00000000" w:rsidRPr="00000000">
              <w:rPr>
                <w:rFonts w:ascii="Calibri" w:cs="Calibri" w:eastAsia="Calibri" w:hAnsi="Calibri"/>
                <w:color w:val="000000"/>
                <w:sz w:val="22"/>
                <w:szCs w:val="22"/>
                <w:rtl w:val="0"/>
              </w:rPr>
              <w:t xml:space="preserve">. Medidas compatíveis com o crachá de identificação com furo na vertical.</w:t>
            </w:r>
          </w:p>
          <w:p w:rsidR="00000000" w:rsidDel="00000000" w:rsidP="00000000" w:rsidRDefault="00000000" w:rsidRPr="00000000" w14:paraId="000000C7">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p>
        </w:tc>
        <w:tc>
          <w:tcPr/>
          <w:p w:rsidR="00000000" w:rsidDel="00000000" w:rsidP="00000000" w:rsidRDefault="00000000" w:rsidRPr="00000000" w14:paraId="000000C8">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w:t>
            </w:r>
          </w:p>
        </w:tc>
        <w:tc>
          <w:tcPr/>
          <w:p w:rsidR="00000000" w:rsidDel="00000000" w:rsidP="00000000" w:rsidRDefault="00000000" w:rsidRPr="00000000" w14:paraId="000000C9">
            <w:pPr>
              <w:widowControl w:val="0"/>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CA">
      <w:pPr>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II- ENDEREÇOS DE ENTREGA DOS ÓRGÃOS</w:t>
      </w:r>
    </w:p>
    <w:p w:rsidR="00000000" w:rsidDel="00000000" w:rsidP="00000000" w:rsidRDefault="00000000" w:rsidRPr="00000000" w14:paraId="000000D1">
      <w:pPr>
        <w:jc w:val="center"/>
        <w:rPr>
          <w:rFonts w:ascii="Calibri" w:cs="Calibri" w:eastAsia="Calibri" w:hAnsi="Calibri"/>
          <w:b w:val="1"/>
          <w:sz w:val="22"/>
          <w:szCs w:val="22"/>
        </w:rPr>
      </w:pPr>
      <w:r w:rsidDel="00000000" w:rsidR="00000000" w:rsidRPr="00000000">
        <w:rPr>
          <w:rtl w:val="0"/>
        </w:rPr>
      </w:r>
    </w:p>
    <w:tbl>
      <w:tblPr>
        <w:tblStyle w:val="Table2"/>
        <w:tblW w:w="9506.0" w:type="dxa"/>
        <w:jc w:val="left"/>
        <w:tblInd w:w="-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1412"/>
        <w:gridCol w:w="47"/>
        <w:gridCol w:w="7437"/>
        <w:tblGridChange w:id="0">
          <w:tblGrid>
            <w:gridCol w:w="610"/>
            <w:gridCol w:w="1412"/>
            <w:gridCol w:w="47"/>
            <w:gridCol w:w="7437"/>
          </w:tblGrid>
        </w:tblGridChange>
      </w:tblGrid>
      <w:tr>
        <w:trPr>
          <w:trHeight w:val="524" w:hRule="atLeast"/>
        </w:trPr>
        <w:tc>
          <w:tcPr>
            <w:gridSpan w:val="2"/>
            <w:vAlign w:val="center"/>
          </w:tcPr>
          <w:p w:rsidR="00000000" w:rsidDel="00000000" w:rsidP="00000000" w:rsidRDefault="00000000" w:rsidRPr="00000000" w14:paraId="000000D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 GERENCIADOR</w:t>
            </w:r>
          </w:p>
        </w:tc>
        <w:tc>
          <w:tcPr>
            <w:gridSpan w:val="2"/>
            <w:vAlign w:val="center"/>
          </w:tcPr>
          <w:p w:rsidR="00000000" w:rsidDel="00000000" w:rsidP="00000000" w:rsidRDefault="00000000" w:rsidRPr="00000000" w14:paraId="000000D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w:t>
            </w:r>
          </w:p>
        </w:tc>
      </w:tr>
      <w:tr>
        <w:trPr>
          <w:trHeight w:val="257" w:hRule="atLeast"/>
        </w:trPr>
        <w:tc>
          <w:tcPr/>
          <w:p w:rsidR="00000000" w:rsidDel="00000000" w:rsidP="00000000" w:rsidRDefault="00000000" w:rsidRPr="00000000" w14:paraId="000000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gridSpan w:val="2"/>
          </w:tcPr>
          <w:p w:rsidR="00000000" w:rsidDel="00000000" w:rsidP="00000000" w:rsidRDefault="00000000" w:rsidRPr="00000000" w14:paraId="000000D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ARSER</w:t>
            </w:r>
          </w:p>
          <w:p w:rsidR="00000000" w:rsidDel="00000000" w:rsidP="00000000" w:rsidRDefault="00000000" w:rsidRPr="00000000" w14:paraId="000000D8">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A">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Rua Eng. Roberto Gonçalves Menezes, 71, Centro, Maceió – AL CEP:57020-680 (82) 3315-3713 / 3714 / 3715. Maceio/AL</w:t>
            </w:r>
            <w:r w:rsidDel="00000000" w:rsidR="00000000" w:rsidRPr="00000000">
              <w:rPr>
                <w:rtl w:val="0"/>
              </w:rPr>
            </w:r>
          </w:p>
        </w:tc>
      </w:tr>
      <w:tr>
        <w:trPr>
          <w:trHeight w:val="448" w:hRule="atLeast"/>
        </w:trPr>
        <w:tc>
          <w:tcPr>
            <w:gridSpan w:val="2"/>
            <w:vAlign w:val="center"/>
          </w:tcPr>
          <w:p w:rsidR="00000000" w:rsidDel="00000000" w:rsidP="00000000" w:rsidRDefault="00000000" w:rsidRPr="00000000" w14:paraId="000000D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ÓRGÃOS PARTICIPANTES</w:t>
            </w:r>
          </w:p>
        </w:tc>
        <w:tc>
          <w:tcPr>
            <w:gridSpan w:val="2"/>
            <w:vAlign w:val="center"/>
          </w:tcPr>
          <w:p w:rsidR="00000000" w:rsidDel="00000000" w:rsidP="00000000" w:rsidRDefault="00000000" w:rsidRPr="00000000" w14:paraId="000000D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ENDEREÇOS:</w:t>
            </w:r>
          </w:p>
        </w:tc>
      </w:tr>
      <w:tr>
        <w:trPr>
          <w:trHeight w:val="353" w:hRule="atLeast"/>
        </w:trPr>
        <w:tc>
          <w:tcPr/>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gridSpan w:val="2"/>
          </w:tcPr>
          <w:p w:rsidR="00000000" w:rsidDel="00000000" w:rsidP="00000000" w:rsidRDefault="00000000" w:rsidRPr="00000000" w14:paraId="000000E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SEMGE</w:t>
            </w:r>
          </w:p>
        </w:tc>
        <w:tc>
          <w:tcPr/>
          <w:p w:rsidR="00000000" w:rsidDel="00000000" w:rsidP="00000000" w:rsidRDefault="00000000" w:rsidRPr="00000000" w14:paraId="000000E2">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Rua Pedro Monteiro, 5,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57020-150 / Fone: (82) 3315-7115 / 7104 / 7113</w:t>
            </w:r>
            <w:r w:rsidDel="00000000" w:rsidR="00000000" w:rsidRPr="00000000">
              <w:rPr>
                <w:rtl w:val="0"/>
              </w:rPr>
            </w:r>
          </w:p>
        </w:tc>
      </w:tr>
      <w:tr>
        <w:trPr>
          <w:trHeight w:val="353" w:hRule="atLeast"/>
        </w:trPr>
        <w:tc>
          <w:tcPr/>
          <w:p w:rsidR="00000000" w:rsidDel="00000000" w:rsidP="00000000" w:rsidRDefault="00000000" w:rsidRPr="00000000" w14:paraId="000000E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gridSpan w:val="2"/>
          </w:tcPr>
          <w:p w:rsidR="00000000" w:rsidDel="00000000" w:rsidP="00000000" w:rsidRDefault="00000000" w:rsidRPr="00000000" w14:paraId="000000E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SECOM</w:t>
            </w:r>
          </w:p>
        </w:tc>
        <w:tc>
          <w:tcPr/>
          <w:p w:rsidR="00000000" w:rsidDel="00000000" w:rsidP="00000000" w:rsidRDefault="00000000" w:rsidRPr="00000000" w14:paraId="000000E6">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Sá e Albuquerque, 235, Jaraguá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 Fone:  3315.9001</w:t>
            </w:r>
          </w:p>
        </w:tc>
      </w:tr>
      <w:tr>
        <w:trPr>
          <w:trHeight w:val="514" w:hRule="atLeast"/>
        </w:trPr>
        <w:tc>
          <w:tcPr/>
          <w:p w:rsidR="00000000" w:rsidDel="00000000" w:rsidP="00000000" w:rsidRDefault="00000000" w:rsidRPr="00000000" w14:paraId="000000E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gridSpan w:val="2"/>
          </w:tcPr>
          <w:p w:rsidR="00000000" w:rsidDel="00000000" w:rsidP="00000000" w:rsidRDefault="00000000" w:rsidRPr="00000000" w14:paraId="000000E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SMCI</w:t>
            </w:r>
          </w:p>
        </w:tc>
        <w:tc>
          <w:tcPr/>
          <w:p w:rsidR="00000000" w:rsidDel="00000000" w:rsidP="00000000" w:rsidRDefault="00000000" w:rsidRPr="00000000" w14:paraId="000000EA">
            <w:pPr>
              <w:spacing w:line="36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Sá e Albuquerque, 235, Jaraguá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 Fone:  3315.9001</w:t>
            </w:r>
          </w:p>
        </w:tc>
      </w:tr>
      <w:tr>
        <w:trPr>
          <w:trHeight w:val="353" w:hRule="atLeast"/>
        </w:trPr>
        <w:tc>
          <w:tcPr/>
          <w:p w:rsidR="00000000" w:rsidDel="00000000" w:rsidP="00000000" w:rsidRDefault="00000000" w:rsidRPr="00000000" w14:paraId="000000E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gridSpan w:val="2"/>
          </w:tcPr>
          <w:p w:rsidR="00000000" w:rsidDel="00000000" w:rsidP="00000000" w:rsidRDefault="00000000" w:rsidRPr="00000000" w14:paraId="000000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SEMED</w:t>
            </w:r>
          </w:p>
        </w:tc>
        <w:tc>
          <w:tcPr/>
          <w:p w:rsidR="00000000" w:rsidDel="00000000" w:rsidP="00000000" w:rsidRDefault="00000000" w:rsidRPr="00000000" w14:paraId="000000E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General Hermes, 1199, Cambona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57017-000 //Fone: (82) 3315-4553</w:t>
            </w:r>
          </w:p>
        </w:tc>
      </w:tr>
      <w:tr>
        <w:trPr>
          <w:trHeight w:val="353" w:hRule="atLeast"/>
        </w:trPr>
        <w:tc>
          <w:tcPr/>
          <w:p w:rsidR="00000000" w:rsidDel="00000000" w:rsidP="00000000" w:rsidRDefault="00000000" w:rsidRPr="00000000" w14:paraId="000000E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gridSpan w:val="2"/>
          </w:tcPr>
          <w:p w:rsidR="00000000" w:rsidDel="00000000" w:rsidP="00000000" w:rsidRDefault="00000000" w:rsidRPr="00000000" w14:paraId="000000F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SEMTEL</w:t>
            </w:r>
          </w:p>
        </w:tc>
        <w:tc>
          <w:tcPr/>
          <w:p w:rsidR="00000000" w:rsidDel="00000000" w:rsidP="00000000" w:rsidRDefault="00000000" w:rsidRPr="00000000" w14:paraId="000000F2">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Sá e Albuquerque, 235, Jaraguá  CEP: 57022-180 // Fone: (82) 3315 6019 | Vila Olímpica: Av. Alice Karoline, 43, Cidade Universitária // Fone: (82) 3315-3990</w:t>
            </w:r>
          </w:p>
        </w:tc>
      </w:tr>
      <w:tr>
        <w:trPr>
          <w:trHeight w:val="353" w:hRule="atLeast"/>
        </w:trPr>
        <w:tc>
          <w:tcPr/>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gridSpan w:val="2"/>
          </w:tcPr>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SEMEC</w:t>
            </w:r>
          </w:p>
        </w:tc>
        <w:tc>
          <w:tcPr/>
          <w:p w:rsidR="00000000" w:rsidDel="00000000" w:rsidP="00000000" w:rsidRDefault="00000000" w:rsidRPr="00000000" w14:paraId="000000F6">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Pedro Monteiro, nº 47, Centro - Maceió/AL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57020-380</w:t>
            </w:r>
          </w:p>
        </w:tc>
      </w:tr>
      <w:tr>
        <w:trPr>
          <w:trHeight w:val="353" w:hRule="atLeast"/>
        </w:trPr>
        <w:tc>
          <w:tcPr/>
          <w:p w:rsidR="00000000" w:rsidDel="00000000" w:rsidP="00000000" w:rsidRDefault="00000000" w:rsidRPr="00000000" w14:paraId="000000F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gridSpan w:val="2"/>
          </w:tcPr>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SMG</w:t>
            </w:r>
          </w:p>
        </w:tc>
        <w:tc>
          <w:tcPr/>
          <w:p w:rsidR="00000000" w:rsidDel="00000000" w:rsidP="00000000" w:rsidRDefault="00000000" w:rsidRPr="00000000" w14:paraId="000000FA">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Sá e Albuquerque, 235, Jaraguá  Maceió - AL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57030-16. Fones: (82) 3315-5042 / 3787</w:t>
            </w:r>
          </w:p>
        </w:tc>
      </w:tr>
      <w:tr>
        <w:trPr>
          <w:trHeight w:val="353" w:hRule="atLeast"/>
        </w:trPr>
        <w:tc>
          <w:tcPr/>
          <w:p w:rsidR="00000000" w:rsidDel="00000000" w:rsidP="00000000" w:rsidRDefault="00000000" w:rsidRPr="00000000" w14:paraId="000000F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gridSpan w:val="2"/>
          </w:tcPr>
          <w:p w:rsidR="00000000" w:rsidDel="00000000" w:rsidP="00000000" w:rsidRDefault="00000000" w:rsidRPr="00000000" w14:paraId="000000F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SEMINFRA</w:t>
            </w:r>
          </w:p>
        </w:tc>
        <w:tc>
          <w:tcPr/>
          <w:p w:rsidR="00000000" w:rsidDel="00000000" w:rsidP="00000000" w:rsidRDefault="00000000" w:rsidRPr="00000000" w14:paraId="000000F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do Imperador, 307,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57023-060 // Fones: (82) 3315-5005 /3536</w:t>
            </w:r>
          </w:p>
        </w:tc>
      </w:tr>
      <w:tr>
        <w:trPr>
          <w:trHeight w:val="353" w:hRule="atLeast"/>
        </w:trPr>
        <w:tc>
          <w:tcPr/>
          <w:p w:rsidR="00000000" w:rsidDel="00000000" w:rsidP="00000000" w:rsidRDefault="00000000" w:rsidRPr="00000000" w14:paraId="000000F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gridSpan w:val="2"/>
          </w:tcPr>
          <w:p w:rsidR="00000000" w:rsidDel="00000000" w:rsidP="00000000" w:rsidRDefault="00000000" w:rsidRPr="00000000" w14:paraId="0000010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SUDES</w:t>
            </w:r>
          </w:p>
        </w:tc>
        <w:tc>
          <w:tcPr/>
          <w:p w:rsidR="00000000" w:rsidDel="00000000" w:rsidP="00000000" w:rsidRDefault="00000000" w:rsidRPr="00000000" w14:paraId="00000102">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Marquês de Abrantes, s/n, Bebedouro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57018-655 // Fones: (82) 3315-4735 /4736 Parque Municipal: 3358-6232</w:t>
            </w:r>
          </w:p>
        </w:tc>
      </w:tr>
      <w:tr>
        <w:trPr>
          <w:trHeight w:val="353" w:hRule="atLeast"/>
        </w:trPr>
        <w:tc>
          <w:tcPr/>
          <w:p w:rsidR="00000000" w:rsidDel="00000000" w:rsidP="00000000" w:rsidRDefault="00000000" w:rsidRPr="00000000" w14:paraId="0000010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gridSpan w:val="2"/>
          </w:tcPr>
          <w:p w:rsidR="00000000" w:rsidDel="00000000" w:rsidP="00000000" w:rsidRDefault="00000000" w:rsidRPr="00000000" w14:paraId="000001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GP</w:t>
            </w:r>
          </w:p>
        </w:tc>
        <w:tc>
          <w:tcPr/>
          <w:p w:rsidR="00000000" w:rsidDel="00000000" w:rsidP="00000000" w:rsidRDefault="00000000" w:rsidRPr="00000000" w14:paraId="00000106">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Sá e Albuquerque, 235, Jaraguá  Telefones: (82) 3315.5040 / 5045</w:t>
            </w:r>
          </w:p>
        </w:tc>
      </w:tr>
      <w:tr>
        <w:trPr>
          <w:trHeight w:val="353" w:hRule="atLeast"/>
        </w:trPr>
        <w:tc>
          <w:tcPr/>
          <w:p w:rsidR="00000000" w:rsidDel="00000000" w:rsidP="00000000" w:rsidRDefault="00000000" w:rsidRPr="00000000" w14:paraId="000001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gridSpan w:val="2"/>
          </w:tcPr>
          <w:p w:rsidR="00000000" w:rsidDel="00000000" w:rsidP="00000000" w:rsidRDefault="00000000" w:rsidRPr="00000000" w14:paraId="000001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PGM</w:t>
            </w:r>
          </w:p>
        </w:tc>
        <w:tc>
          <w:tcPr/>
          <w:p w:rsidR="00000000" w:rsidDel="00000000" w:rsidP="00000000" w:rsidRDefault="00000000" w:rsidRPr="00000000" w14:paraId="0000010A">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Dr. Pedro Monteiro, 291,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57020-380 | Telefones: 3327-4902 / 3327-7409 / 3327-1588 / 3327-1447</w:t>
            </w:r>
          </w:p>
        </w:tc>
      </w:tr>
      <w:tr>
        <w:trPr>
          <w:trHeight w:val="353" w:hRule="atLeast"/>
        </w:trPr>
        <w:tc>
          <w:tcPr/>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gridSpan w:val="2"/>
          </w:tcPr>
          <w:p w:rsidR="00000000" w:rsidDel="00000000" w:rsidP="00000000" w:rsidRDefault="00000000" w:rsidRPr="00000000" w14:paraId="000001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SEMSCS</w:t>
            </w:r>
          </w:p>
        </w:tc>
        <w:tc>
          <w:tcPr/>
          <w:p w:rsidR="00000000" w:rsidDel="00000000" w:rsidP="00000000" w:rsidRDefault="00000000" w:rsidRPr="00000000" w14:paraId="0000010E">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white"/>
                <w:rtl w:val="0"/>
              </w:rPr>
              <w:t xml:space="preserve">Sede administrativa: Rua Alexandre Passos, s/n, Jaraguá- Maceió- AL.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CEP-57022-190 // Fones: (82) 3315-4747 | Guarda Municipal: Avenida Theobaldo Barbosa, s/n, Conjunto Joaquim Leão, Vergel.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57014-510 // Fones: (82) 3315-2848 / 1920</w:t>
            </w:r>
            <w:r w:rsidDel="00000000" w:rsidR="00000000" w:rsidRPr="00000000">
              <w:rPr>
                <w:rtl w:val="0"/>
              </w:rPr>
            </w:r>
          </w:p>
        </w:tc>
      </w:tr>
      <w:tr>
        <w:trPr>
          <w:trHeight w:val="353" w:hRule="atLeast"/>
        </w:trPr>
        <w:tc>
          <w:tcPr/>
          <w:p w:rsidR="00000000" w:rsidDel="00000000" w:rsidP="00000000" w:rsidRDefault="00000000" w:rsidRPr="00000000" w14:paraId="000001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gridSpan w:val="2"/>
          </w:tcPr>
          <w:p w:rsidR="00000000" w:rsidDel="00000000" w:rsidP="00000000" w:rsidRDefault="00000000" w:rsidRPr="00000000" w14:paraId="0000011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SEDET</w:t>
            </w:r>
          </w:p>
        </w:tc>
        <w:tc>
          <w:tcPr/>
          <w:p w:rsidR="00000000" w:rsidDel="00000000" w:rsidP="00000000" w:rsidRDefault="00000000" w:rsidRPr="00000000" w14:paraId="00000112">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white"/>
                <w:rtl w:val="0"/>
              </w:rPr>
              <w:t xml:space="preserve">Avenida Governador Afrânio Lages, 297, Farol.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- 57050-015 // Fones: (82) 3315- 4754 /</w:t>
            </w:r>
            <w:r w:rsidDel="00000000" w:rsidR="00000000" w:rsidRPr="00000000">
              <w:rPr>
                <w:rtl w:val="0"/>
              </w:rPr>
            </w:r>
          </w:p>
        </w:tc>
      </w:tr>
      <w:tr>
        <w:trPr>
          <w:trHeight w:val="353" w:hRule="atLeast"/>
        </w:trPr>
        <w:tc>
          <w:tcPr/>
          <w:p w:rsidR="00000000" w:rsidDel="00000000" w:rsidP="00000000" w:rsidRDefault="00000000" w:rsidRPr="00000000" w14:paraId="000001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gridSpan w:val="2"/>
            <w:shd w:fill="auto" w:val="clear"/>
          </w:tcPr>
          <w:p w:rsidR="00000000" w:rsidDel="00000000" w:rsidP="00000000" w:rsidRDefault="00000000" w:rsidRPr="00000000" w14:paraId="0000011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SEMTABES</w:t>
            </w:r>
          </w:p>
        </w:tc>
        <w:tc>
          <w:tcPr/>
          <w:p w:rsidR="00000000" w:rsidDel="00000000" w:rsidP="00000000" w:rsidRDefault="00000000" w:rsidRPr="00000000" w14:paraId="00000116">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Sede: Rua do Imperador, 141,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57020-670 // Fone: (82) 3315-6260 | Sine Maceió: Shopping Popular, Rua do Livramento,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57020-030</w:t>
            </w:r>
          </w:p>
        </w:tc>
      </w:tr>
      <w:tr>
        <w:trPr>
          <w:trHeight w:val="353" w:hRule="atLeast"/>
        </w:trPr>
        <w:tc>
          <w:tcPr/>
          <w:p w:rsidR="00000000" w:rsidDel="00000000" w:rsidP="00000000" w:rsidRDefault="00000000" w:rsidRPr="00000000" w14:paraId="000001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gridSpan w:val="2"/>
          </w:tcPr>
          <w:p w:rsidR="00000000" w:rsidDel="00000000" w:rsidP="00000000" w:rsidRDefault="00000000" w:rsidRPr="00000000" w14:paraId="0000011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SIMA</w:t>
            </w:r>
          </w:p>
        </w:tc>
        <w:tc>
          <w:tcPr/>
          <w:p w:rsidR="00000000" w:rsidDel="00000000" w:rsidP="00000000" w:rsidRDefault="00000000" w:rsidRPr="00000000" w14:paraId="0000011A">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Marquês de Abrantes, s/n, Bebedouro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57018-330 // Fones: (82) 3315-3821 / 6410 / 3828 </w:t>
            </w:r>
          </w:p>
        </w:tc>
      </w:tr>
      <w:tr>
        <w:trPr>
          <w:trHeight w:val="353" w:hRule="atLeast"/>
        </w:trPr>
        <w:tc>
          <w:tcPr/>
          <w:p w:rsidR="00000000" w:rsidDel="00000000" w:rsidP="00000000" w:rsidRDefault="00000000" w:rsidRPr="00000000" w14:paraId="000001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gridSpan w:val="2"/>
          </w:tcPr>
          <w:p w:rsidR="00000000" w:rsidDel="00000000" w:rsidP="00000000" w:rsidRDefault="00000000" w:rsidRPr="00000000" w14:paraId="000001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SMTT</w:t>
            </w:r>
          </w:p>
        </w:tc>
        <w:tc>
          <w:tcPr/>
          <w:p w:rsidR="00000000" w:rsidDel="00000000" w:rsidP="00000000" w:rsidRDefault="00000000" w:rsidRPr="00000000" w14:paraId="0000011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Avenida Durval de Góes Monteiro, 829, KM 10, Tabuleiro do Martins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57061-000 // Fone: (82) 3315-3571</w:t>
            </w:r>
          </w:p>
        </w:tc>
      </w:tr>
      <w:tr>
        <w:trPr>
          <w:trHeight w:val="353" w:hRule="atLeast"/>
        </w:trPr>
        <w:tc>
          <w:tcPr/>
          <w:p w:rsidR="00000000" w:rsidDel="00000000" w:rsidP="00000000" w:rsidRDefault="00000000" w:rsidRPr="00000000" w14:paraId="000001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gridSpan w:val="2"/>
            <w:shd w:fill="ffffff" w:val="clear"/>
          </w:tcPr>
          <w:p w:rsidR="00000000" w:rsidDel="00000000" w:rsidP="00000000" w:rsidRDefault="00000000" w:rsidRPr="00000000" w14:paraId="0000012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SEMAS</w:t>
            </w:r>
          </w:p>
        </w:tc>
        <w:tc>
          <w:tcPr>
            <w:vAlign w:val="center"/>
          </w:tcPr>
          <w:p w:rsidR="00000000" w:rsidDel="00000000" w:rsidP="00000000" w:rsidRDefault="00000000" w:rsidRPr="00000000" w14:paraId="000001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SEMAS SEDE – av. Comendador Leão, 1383, Poço, Maceió-AL</w:t>
            </w:r>
          </w:p>
        </w:tc>
      </w:tr>
      <w:tr>
        <w:trPr>
          <w:trHeight w:val="353" w:hRule="atLeast"/>
        </w:trPr>
        <w:tc>
          <w:tcPr/>
          <w:p w:rsidR="00000000" w:rsidDel="00000000" w:rsidP="00000000" w:rsidRDefault="00000000" w:rsidRPr="00000000" w14:paraId="00000123">
            <w:pPr>
              <w:jc w:val="both"/>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19</w:t>
            </w:r>
          </w:p>
        </w:tc>
        <w:tc>
          <w:tcPr>
            <w:gridSpan w:val="2"/>
            <w:shd w:fill="ffffff" w:val="clear"/>
          </w:tcPr>
          <w:p w:rsidR="00000000" w:rsidDel="00000000" w:rsidP="00000000" w:rsidRDefault="00000000" w:rsidRPr="00000000" w14:paraId="000001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SMS</w:t>
            </w:r>
          </w:p>
        </w:tc>
        <w:tc>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Rua Dias Cabral,69, Maceió- AL, Cep: 57020-250</w:t>
            </w:r>
          </w:p>
        </w:tc>
      </w:tr>
    </w:tbl>
    <w:p w:rsidR="00000000" w:rsidDel="00000000" w:rsidP="00000000" w:rsidRDefault="00000000" w:rsidRPr="00000000" w14:paraId="00000127">
      <w:pPr>
        <w:jc w:val="center"/>
        <w:rPr>
          <w:rFonts w:ascii="Calibri" w:cs="Calibri" w:eastAsia="Calibri" w:hAnsi="Calibri"/>
          <w:b w:val="1"/>
          <w:color w:val="000000"/>
          <w:sz w:val="22"/>
          <w:szCs w:val="22"/>
        </w:rPr>
      </w:pPr>
      <w:r w:rsidDel="00000000" w:rsidR="00000000" w:rsidRPr="00000000">
        <w:rPr>
          <w:rtl w:val="0"/>
        </w:rPr>
      </w:r>
    </w:p>
    <w:sectPr>
      <w:headerReference r:id="rId6" w:type="default"/>
      <w:footerReference r:id="rId7" w:type="default"/>
      <w:pgSz w:h="16838" w:w="11906"/>
      <w:pgMar w:bottom="1417" w:top="1417" w:left="1701" w:right="849" w:header="708" w:footer="2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45699"/>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657600" cy="94805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57600" cy="9480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8"/>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rFonts w:ascii="Calibri" w:cs="Calibri" w:eastAsia="Calibri" w:hAnsi="Calibri"/>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Calibri" w:cs="Calibri" w:eastAsia="Calibri" w:hAnsi="Calibri"/>
      </w:rPr>
    </w:lvl>
    <w:lvl w:ilvl="3">
      <w:start w:val="1"/>
      <w:numFmt w:val="decimal"/>
      <w:lvlText w:val="%1.%2.%3.%4"/>
      <w:lvlJc w:val="left"/>
      <w:pPr>
        <w:ind w:left="720" w:hanging="720"/>
      </w:pPr>
      <w:rPr>
        <w:rFonts w:ascii="Calibri" w:cs="Calibri" w:eastAsia="Calibri" w:hAnsi="Calibri"/>
      </w:rPr>
    </w:lvl>
    <w:lvl w:ilvl="4">
      <w:start w:val="1"/>
      <w:numFmt w:val="decimal"/>
      <w:lvlText w:val="%1.%2.%3.%4.%5"/>
      <w:lvlJc w:val="left"/>
      <w:pPr>
        <w:ind w:left="1080" w:hanging="1080"/>
      </w:pPr>
      <w:rPr>
        <w:rFonts w:ascii="Calibri" w:cs="Calibri" w:eastAsia="Calibri" w:hAnsi="Calibri"/>
      </w:rPr>
    </w:lvl>
    <w:lvl w:ilvl="5">
      <w:start w:val="1"/>
      <w:numFmt w:val="decimal"/>
      <w:lvlText w:val="%1.%2.%3.%4.%5.%6"/>
      <w:lvlJc w:val="left"/>
      <w:pPr>
        <w:ind w:left="1080" w:hanging="1080"/>
      </w:pPr>
      <w:rPr>
        <w:rFonts w:ascii="Calibri" w:cs="Calibri" w:eastAsia="Calibri" w:hAnsi="Calibri"/>
      </w:rPr>
    </w:lvl>
    <w:lvl w:ilvl="6">
      <w:start w:val="1"/>
      <w:numFmt w:val="decimal"/>
      <w:lvlText w:val="%1.%2.%3.%4.%5.%6.%7"/>
      <w:lvlJc w:val="left"/>
      <w:pPr>
        <w:ind w:left="1440" w:hanging="1440"/>
      </w:pPr>
      <w:rPr>
        <w:rFonts w:ascii="Calibri" w:cs="Calibri" w:eastAsia="Calibri" w:hAnsi="Calibri"/>
      </w:rPr>
    </w:lvl>
    <w:lvl w:ilvl="7">
      <w:start w:val="1"/>
      <w:numFmt w:val="decimal"/>
      <w:lvlText w:val="%1.%2.%3.%4.%5.%6.%7.%8"/>
      <w:lvlJc w:val="left"/>
      <w:pPr>
        <w:ind w:left="1440" w:hanging="1440"/>
      </w:pPr>
      <w:rPr>
        <w:rFonts w:ascii="Calibri" w:cs="Calibri" w:eastAsia="Calibri" w:hAnsi="Calibri"/>
      </w:rPr>
    </w:lvl>
    <w:lvl w:ilvl="8">
      <w:start w:val="1"/>
      <w:numFmt w:val="decimal"/>
      <w:lvlText w:val="%1.%2.%3.%4.%5.%6.%7.%8.%9"/>
      <w:lvlJc w:val="left"/>
      <w:pPr>
        <w:ind w:left="1440" w:hanging="1440"/>
      </w:pPr>
      <w:rPr>
        <w:rFonts w:ascii="Calibri" w:cs="Calibri" w:eastAsia="Calibri" w:hAnsi="Calibri"/>
      </w:rPr>
    </w:lvl>
  </w:abstractNum>
  <w:abstractNum w:abstractNumId="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b w:val="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ind w:firstLine="567"/>
    </w:pPr>
    <w:rPr>
      <w:b w:val="1"/>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