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84"/>
        </w:tabs>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TERMO DE REFERÊNCIA</w:t>
      </w:r>
    </w:p>
    <w:p w:rsidR="00000000" w:rsidDel="00000000" w:rsidP="00000000" w:rsidRDefault="00000000" w:rsidRPr="00000000" w14:paraId="00000002">
      <w:pPr>
        <w:pStyle w:val="Heading4"/>
        <w:keepLines w:val="0"/>
        <w:numPr>
          <w:ilvl w:val="0"/>
          <w:numId w:val="9"/>
        </w:numPr>
        <w:pBdr>
          <w:bottom w:color="000000" w:space="1" w:sz="4" w:val="single"/>
        </w:pBdr>
        <w:tabs>
          <w:tab w:val="left" w:pos="284"/>
        </w:tabs>
        <w:spacing w:before="0" w:lineRule="auto"/>
        <w:ind w:left="0" w:firstLine="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DO OBJETO</w:t>
      </w:r>
    </w:p>
    <w:p w:rsidR="00000000" w:rsidDel="00000000" w:rsidP="00000000" w:rsidRDefault="00000000" w:rsidRPr="00000000" w14:paraId="0000000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Registro de Preços para futuro e eventual fornecimento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Placas e Cavaletes de identificação de obras (com instalação),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atendimento aos diversos Órgãos e Entidades da Administração Pública do Município de Maceió, nas especificações e quantidades constantes no Anexo I deste Termo de Referência.</w:t>
      </w:r>
    </w:p>
    <w:p w:rsidR="00000000" w:rsidDel="00000000" w:rsidP="00000000" w:rsidRDefault="00000000" w:rsidRPr="00000000" w14:paraId="00000004">
      <w:pPr>
        <w:pStyle w:val="Heading4"/>
        <w:keepLines w:val="0"/>
        <w:numPr>
          <w:ilvl w:val="0"/>
          <w:numId w:val="9"/>
        </w:numPr>
        <w:pBdr>
          <w:bottom w:color="000000" w:space="1" w:sz="4" w:val="single"/>
        </w:pBdr>
        <w:tabs>
          <w:tab w:val="left" w:pos="284"/>
        </w:tabs>
        <w:spacing w:before="0" w:lineRule="auto"/>
        <w:ind w:left="0" w:firstLine="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JUSTIFICATIVA </w:t>
      </w:r>
    </w:p>
    <w:p w:rsidR="00000000" w:rsidDel="00000000" w:rsidP="00000000" w:rsidRDefault="00000000" w:rsidRPr="00000000" w14:paraId="00000005">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000000" w:rsidDel="00000000" w:rsidP="00000000" w:rsidRDefault="00000000" w:rsidRPr="00000000" w14:paraId="00000006">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âmbito da ARSER está a competência de planejamento, coordenação e controle de procedimentos de compras centralizadas de serviços e materiais de uso comum para atendimento às demandas de todos os órgãos da Administração Pública Municipal.</w:t>
      </w:r>
    </w:p>
    <w:p w:rsidR="00000000" w:rsidDel="00000000" w:rsidP="00000000" w:rsidRDefault="00000000" w:rsidRPr="00000000" w14:paraId="00000007">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000000" w:rsidDel="00000000" w:rsidP="00000000" w:rsidRDefault="00000000" w:rsidRPr="00000000" w14:paraId="00000008">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contratação centralizada proporciona uma melhoria nos procedimentos técnicos e administrativos, além da redução do número de processos licitatórios, auferindo a administração redução de custos operacionais e eficiência gerencial.</w:t>
      </w:r>
    </w:p>
    <w:p w:rsidR="00000000" w:rsidDel="00000000" w:rsidP="00000000" w:rsidRDefault="00000000" w:rsidRPr="00000000" w14:paraId="00000009">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000000" w:rsidDel="00000000" w:rsidP="00000000" w:rsidRDefault="00000000" w:rsidRPr="00000000" w14:paraId="0000000A">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000000" w:rsidDel="00000000" w:rsidP="00000000" w:rsidRDefault="00000000" w:rsidRPr="00000000" w14:paraId="0000000B">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Administração Pública Municipal ao lançar uma licitação centralizada sinaliza fortemente ao mercado fornecedor de que existe planejamento em suas aquisições e que se busca as melhores negociações.</w:t>
      </w:r>
    </w:p>
    <w:p w:rsidR="00000000" w:rsidDel="00000000" w:rsidP="00000000" w:rsidRDefault="00000000" w:rsidRPr="00000000" w14:paraId="0000000C">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legislação vigente que regula as aquisições no setor público alberga instrumentos que podem ser utilizados e possibilitam maior eficiência nas aquisições e melhoria na gestão, tais quais a adoção de Sistema de Registro de Preços – SRP.</w:t>
      </w:r>
    </w:p>
    <w:p w:rsidR="00000000" w:rsidDel="00000000" w:rsidP="00000000" w:rsidRDefault="00000000" w:rsidRPr="00000000" w14:paraId="0000000D">
      <w:pPr>
        <w:numPr>
          <w:ilvl w:val="1"/>
          <w:numId w:val="11"/>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Dentre as vantagens do Sistema de Registro de Preços, definido no Decreto Municipal nº 7.496 de 11 de abril de 2013, destaca-se:</w:t>
      </w:r>
    </w:p>
    <w:p w:rsidR="00000000" w:rsidDel="00000000" w:rsidP="00000000" w:rsidRDefault="00000000" w:rsidRPr="00000000" w14:paraId="0000000E">
      <w:pPr>
        <w:numPr>
          <w:ilvl w:val="0"/>
          <w:numId w:val="10"/>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 vigência da Ata de Registro de Preços é de 12 (doze) meses;</w:t>
      </w:r>
    </w:p>
    <w:p w:rsidR="00000000" w:rsidDel="00000000" w:rsidP="00000000" w:rsidRDefault="00000000" w:rsidRPr="00000000" w14:paraId="0000000F">
      <w:pPr>
        <w:numPr>
          <w:ilvl w:val="0"/>
          <w:numId w:val="10"/>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É dispensável a dotação orçamentária para iniciar a licitação;</w:t>
      </w:r>
    </w:p>
    <w:p w:rsidR="00000000" w:rsidDel="00000000" w:rsidP="00000000" w:rsidRDefault="00000000" w:rsidRPr="00000000" w14:paraId="00000010">
      <w:pPr>
        <w:numPr>
          <w:ilvl w:val="0"/>
          <w:numId w:val="10"/>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Possibilidade de atendimento aos variados tipos de demandas;</w:t>
      </w:r>
    </w:p>
    <w:p w:rsidR="00000000" w:rsidDel="00000000" w:rsidP="00000000" w:rsidRDefault="00000000" w:rsidRPr="00000000" w14:paraId="00000011">
      <w:pPr>
        <w:numPr>
          <w:ilvl w:val="0"/>
          <w:numId w:val="10"/>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dos custos operacionais e de estoque;</w:t>
      </w:r>
    </w:p>
    <w:p w:rsidR="00000000" w:rsidDel="00000000" w:rsidP="00000000" w:rsidRDefault="00000000" w:rsidRPr="00000000" w14:paraId="00000012">
      <w:pPr>
        <w:numPr>
          <w:ilvl w:val="0"/>
          <w:numId w:val="10"/>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 número de licitações durante o exercício financeiro;</w:t>
      </w:r>
    </w:p>
    <w:p w:rsidR="00000000" w:rsidDel="00000000" w:rsidP="00000000" w:rsidRDefault="00000000" w:rsidRPr="00000000" w14:paraId="00000013">
      <w:pPr>
        <w:numPr>
          <w:ilvl w:val="0"/>
          <w:numId w:val="10"/>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Aumento da eficiência administrativa;</w:t>
      </w:r>
    </w:p>
    <w:p w:rsidR="00000000" w:rsidDel="00000000" w:rsidP="00000000" w:rsidRDefault="00000000" w:rsidRPr="00000000" w14:paraId="00000014">
      <w:pPr>
        <w:numPr>
          <w:ilvl w:val="0"/>
          <w:numId w:val="10"/>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Agilidade e otimização nas contratações públicas</w:t>
      </w:r>
    </w:p>
    <w:p w:rsidR="00000000" w:rsidDel="00000000" w:rsidP="00000000" w:rsidRDefault="00000000" w:rsidRPr="00000000" w14:paraId="00000015">
      <w:pPr>
        <w:numPr>
          <w:ilvl w:val="0"/>
          <w:numId w:val="10"/>
        </w:numPr>
        <w:tabs>
          <w:tab w:val="left" w:pos="1985"/>
        </w:tabs>
        <w:ind w:left="1985" w:hanging="566.9999999999999"/>
        <w:jc w:val="both"/>
        <w:rPr>
          <w:sz w:val="22"/>
          <w:szCs w:val="22"/>
        </w:rPr>
      </w:pPr>
      <w:r w:rsidDel="00000000" w:rsidR="00000000" w:rsidRPr="00000000">
        <w:rPr>
          <w:rFonts w:ascii="Calibri" w:cs="Calibri" w:eastAsia="Calibri" w:hAnsi="Calibri"/>
          <w:sz w:val="22"/>
          <w:szCs w:val="22"/>
          <w:rtl w:val="0"/>
        </w:rPr>
        <w:t xml:space="preserve">Possibilidade de estimar quantitativos quando não é possível definir previamente a quantidade exata do objeto a ser adquirido.</w:t>
      </w:r>
    </w:p>
    <w:p w:rsidR="00000000" w:rsidDel="00000000" w:rsidP="00000000" w:rsidRDefault="00000000" w:rsidRPr="00000000" w14:paraId="00000016">
      <w:pPr>
        <w:numPr>
          <w:ilvl w:val="1"/>
          <w:numId w:val="11"/>
        </w:numPr>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Nesse sentido, justifica-se a aquisição do objeto para a regular identificação das obras, nas instalações e nos serviços que estarão sendo desenvolvidas em locais específicos e apropriados sob a responsabilidade dos órgãos competentes.</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ESPECIFICAÇÕES</w:t>
      </w:r>
    </w:p>
    <w:p w:rsidR="00000000" w:rsidDel="00000000" w:rsidP="00000000" w:rsidRDefault="00000000" w:rsidRPr="00000000" w14:paraId="0000001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especificações, quantidades estimadas, bem como todas as informações complementares para o regular fornecimento do objeto deste Termo de Referência estão descritas no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ANEXO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MODALIDADE DA LICITAÇÃO E CRITÉRIO DE JULGAMENTO</w:t>
      </w:r>
    </w:p>
    <w:p w:rsidR="00000000" w:rsidDel="00000000" w:rsidP="00000000" w:rsidRDefault="00000000" w:rsidRPr="00000000" w14:paraId="0000001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000000" w:rsidDel="00000000" w:rsidP="00000000" w:rsidRDefault="00000000" w:rsidRPr="00000000" w14:paraId="0000001C">
      <w:pPr>
        <w:numPr>
          <w:ilvl w:val="1"/>
          <w:numId w:val="2"/>
        </w:numPr>
        <w:spacing w:after="0" w:afterAutospacing="0" w:before="0" w:beforeAutospacing="0" w:line="276" w:lineRule="auto"/>
        <w:ind w:left="36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O pregão eletrônico ocorrerá sob o </w:t>
      </w:r>
      <w:r w:rsidDel="00000000" w:rsidR="00000000" w:rsidRPr="00000000">
        <w:rPr>
          <w:rFonts w:ascii="Calibri" w:cs="Calibri" w:eastAsia="Calibri" w:hAnsi="Calibri"/>
          <w:sz w:val="22"/>
          <w:szCs w:val="22"/>
          <w:u w:val="single"/>
          <w:rtl w:val="0"/>
        </w:rPr>
        <w:t xml:space="preserve">modo de disputa Aberto e Fechado</w:t>
      </w:r>
      <w:r w:rsidDel="00000000" w:rsidR="00000000" w:rsidRPr="00000000">
        <w:rPr>
          <w:rFonts w:ascii="Calibri" w:cs="Calibri" w:eastAsia="Calibri" w:hAnsi="Calibri"/>
          <w:sz w:val="22"/>
          <w:szCs w:val="22"/>
          <w:rtl w:val="0"/>
        </w:rPr>
        <w:t xml:space="preserve">, onde os licitantes apresentarão lances públicos e sucessivos, com lance final e fechado.</w:t>
      </w:r>
    </w:p>
    <w:p w:rsidR="00000000" w:rsidDel="00000000" w:rsidP="00000000" w:rsidRDefault="00000000" w:rsidRPr="00000000" w14:paraId="0000001D">
      <w:pPr>
        <w:numPr>
          <w:ilvl w:val="2"/>
          <w:numId w:val="2"/>
        </w:numPr>
        <w:spacing w:after="0" w:afterAutospacing="0" w:before="0" w:beforeAutospacing="0" w:line="276" w:lineRule="auto"/>
        <w:ind w:left="862" w:hanging="72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000000" w:rsidDel="00000000" w:rsidP="00000000" w:rsidRDefault="00000000" w:rsidRPr="00000000" w14:paraId="0000001E">
      <w:pPr>
        <w:numPr>
          <w:ilvl w:val="1"/>
          <w:numId w:val="2"/>
        </w:numPr>
        <w:spacing w:after="0" w:afterAutospacing="0" w:before="0" w:beforeAutospacing="0" w:line="276" w:lineRule="auto"/>
        <w:ind w:left="360"/>
        <w:jc w:val="both"/>
        <w:rPr>
          <w:rFonts w:ascii="Arial" w:cs="Arial" w:eastAsia="Arial" w:hAnsi="Arial"/>
          <w:sz w:val="22"/>
          <w:szCs w:val="22"/>
        </w:rPr>
      </w:pPr>
      <w:r w:rsidDel="00000000" w:rsidR="00000000" w:rsidRPr="00000000">
        <w:rPr>
          <w:rFonts w:ascii="Calibri" w:cs="Calibri" w:eastAsia="Calibri" w:hAnsi="Calibri"/>
          <w:sz w:val="22"/>
          <w:szCs w:val="22"/>
          <w:rtl w:val="0"/>
        </w:rPr>
        <w:t xml:space="preserve">Pelo interesse da administração pública, os valores de referência não serão divulgados.</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DOTAÇÃO ORÇAMENTÁRIA </w:t>
      </w:r>
    </w:p>
    <w:p w:rsidR="00000000" w:rsidDel="00000000" w:rsidP="00000000" w:rsidRDefault="00000000" w:rsidRPr="00000000" w14:paraId="0000002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despesas decorrentes da contratação do objeto deste Termo de Referência correrão à conta dos recursos específicos consignados no Orçamento dos Órgãos e Entidades do Município de Maceió participantes da Ata de Registro de Preços.</w:t>
      </w:r>
      <w:r w:rsidDel="00000000" w:rsidR="00000000" w:rsidRPr="00000000">
        <w:rPr>
          <w:rtl w:val="0"/>
        </w:rPr>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CONDIÇÕES DE EXECUÇÃO DOS SERVIÇOS</w:t>
      </w:r>
    </w:p>
    <w:p w:rsidR="00000000" w:rsidDel="00000000" w:rsidP="00000000" w:rsidRDefault="00000000" w:rsidRPr="00000000" w14:paraId="000000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que julgar necessário o Órgão Contratante solicitará, durante a vigência da ARP, o fornecimento dos produtos registrados na quantidade necessária, mediante a elaboração do instrumento contratual.</w:t>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r>
      <w:r w:rsidDel="00000000" w:rsidR="00000000" w:rsidRPr="00000000">
        <w:rPr>
          <w:rFonts w:ascii="Calibri" w:cs="Calibri" w:eastAsia="Calibri" w:hAnsi="Calibri"/>
          <w:sz w:val="22"/>
          <w:szCs w:val="22"/>
          <w:rtl w:val="0"/>
        </w:rPr>
        <w:t xml:space="preserve"> Contratante não estará obrigada a adquirir os serviços registrados, contudo, ao fazê-lo,  cada participante solicitará individualmente um percentual mínimo de 1% (um por cento) do quantitativo que se encontra registrado para cada órgão.</w:t>
      </w:r>
      <w:r w:rsidDel="00000000" w:rsidR="00000000" w:rsidRPr="00000000">
        <w:rPr>
          <w:rtl w:val="0"/>
        </w:rPr>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fornecimento do objeto com a devida instalação será realizado mediante o recebimento da Nota de Empenho/ordem de serviços, indicando o tipo de placa a ser confeccionada e o respectivo local de instalação, no horário e nos dias normais de expediente da CONTRATANTE (das 08 às 14 horas, de segunda a sexta).</w:t>
      </w:r>
    </w:p>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técnicos da CONTRATADA deverão se apresentar para a realização dos serviços portando documento de identificação.</w:t>
      </w:r>
    </w:p>
    <w:p w:rsidR="00000000" w:rsidDel="00000000" w:rsidP="00000000" w:rsidRDefault="00000000" w:rsidRPr="00000000" w14:paraId="0000002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Durante a execução dos serviços os funcionários da CONTRATADA deverão estar portando as ferramentas necessárias e adequadas para a boa execução do serviço,</w:t>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serviços que não estiverem de acordo com o especificado deverão ser refeitos, a pedido do servidor designado, nos mesmos prazos dos itens.</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Todo o material necessário para a fixação das placas e adesivos será fornecido pela Contratada.</w:t>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Nenhum bem ou material da Contratante será removido ou transferido do seu local sem o consentimento formal da CONTRATANTE.</w:t>
      </w:r>
    </w:p>
    <w:p w:rsidR="00000000" w:rsidDel="00000000" w:rsidP="00000000" w:rsidRDefault="00000000" w:rsidRPr="00000000" w14:paraId="0000002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Os materiais deverão ser fornecidos com logo da Prefeitura Municipal de Maceió, conforme modelo a ser disponibilizado, devendo atender à identidade visual dessa. </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PRAZO PARA EXECUÇÃO DOS SERVIÇOS</w:t>
      </w:r>
    </w:p>
    <w:p w:rsidR="00000000" w:rsidDel="00000000" w:rsidP="00000000" w:rsidRDefault="00000000" w:rsidRPr="00000000" w14:paraId="0000002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máximo para o fornecimento do objeto com a devida instalação será de até 07 (sete) dias consecutivos contados a partir do recebimento da Nota de Empenho/ordem de serviços.</w:t>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RECEBIMENTO DO OBJETO</w:t>
      </w:r>
    </w:p>
    <w:p w:rsidR="00000000" w:rsidDel="00000000" w:rsidP="00000000" w:rsidRDefault="00000000" w:rsidRPr="00000000" w14:paraId="00000032">
      <w:pPr>
        <w:keepNext w:val="0"/>
        <w:keepLines w:val="0"/>
        <w:widowControl w:val="1"/>
        <w:numPr>
          <w:ilvl w:val="2"/>
          <w:numId w:val="5"/>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objeto(s) serão recebidos pelo servidor responsável no ato da entrega;</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Provisoriamente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ato da entrega, para efeito de posterior verificação da conformidade dos mesmos com as especificações requeridas neste documento; </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Definitivamente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após a verificação da qualidade e quantidade do material e consequente aceitação, no prazo de até 05 (cinco) dia úteis. Só então será atestada a nota fiscal. </w:t>
      </w:r>
    </w:p>
    <w:p w:rsidR="00000000" w:rsidDel="00000000" w:rsidP="00000000" w:rsidRDefault="00000000" w:rsidRPr="00000000" w14:paraId="0000003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recusados os materiais que apresentarem defeitos ou cujas especificações não atendam às descrições do objeto contratado. </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ato de recebimento dos materiais, não importa em sua aceitação. A critério da Contratante, os produtos fornecidos serão submetidos à verificação. Cabe a Contratada a substituição dos produtos que vierem a ser recusados, no prazo máximo de 10 (dez) dias úteis, contados da solicitação.</w:t>
      </w:r>
    </w:p>
    <w:p w:rsidR="00000000" w:rsidDel="00000000" w:rsidP="00000000" w:rsidRDefault="00000000" w:rsidRPr="00000000" w14:paraId="0000003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materiais deverão atender aos dispositivos da Lei nº 8.078/90 (Código de Defesa do Consumidor) e às demais legislação pertinentes.</w:t>
      </w:r>
    </w:p>
    <w:p w:rsidR="00000000" w:rsidDel="00000000" w:rsidP="00000000" w:rsidRDefault="00000000" w:rsidRPr="00000000" w14:paraId="0000003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materiais deverão ser acondicionados conforme praxe do fabricante devendo garantir proteção durante transporte e estocagem, constando a identificação do produto e demais informações exigidas na legislação em vigor.</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HABILITAÇÃO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licitantes deverão apresentar no mínimo um atestado passado por pessoa jurídica de direito público ou privado, que comprove que a mesma forneceu ou está fornecendo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Placas e Cavaletes de identificação de obras (com instalação),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maneira satisfatória.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OBRIGAÇÕES</w:t>
      </w:r>
    </w:p>
    <w:p w:rsidR="00000000" w:rsidDel="00000000" w:rsidP="00000000" w:rsidRDefault="00000000" w:rsidRPr="00000000" w14:paraId="0000003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Contratada</w:t>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Assinar a ARP em até 05 (cinco) dias contados da convocação para sua formalização pela Contratante.</w:t>
      </w:r>
    </w:p>
    <w:p w:rsidR="00000000" w:rsidDel="00000000" w:rsidP="00000000" w:rsidRDefault="00000000" w:rsidRPr="00000000" w14:paraId="0000004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a todos os pedidos efetuados durante a vigência da Ata no limite do quantitativo registrado;</w:t>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000000" w:rsidDel="00000000" w:rsidP="00000000" w:rsidRDefault="00000000" w:rsidRPr="00000000" w14:paraId="0000004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a entrega do objeto em perfeitas condições de uso, em estrita observância às especificações deste Termo de Referência;</w:t>
      </w:r>
    </w:p>
    <w:p w:rsidR="00000000" w:rsidDel="00000000" w:rsidP="00000000" w:rsidRDefault="00000000" w:rsidRPr="00000000" w14:paraId="0000004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Administração, no prazo de 24 (vinte e quatro) horas que antecede a data da entrega, os motivos que impossibilitem o cumprimento do prazo previsto, com a devida comprovação;</w:t>
      </w:r>
    </w:p>
    <w:p w:rsidR="00000000" w:rsidDel="00000000" w:rsidP="00000000" w:rsidRDefault="00000000" w:rsidRPr="00000000" w14:paraId="0000004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dessa contratação nas condições pactuadas neste documento;</w:t>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Providenciar a correção das deficiências, falhas ou irregularidades constatadas pela Contratante na entrega do objeto;</w:t>
      </w:r>
    </w:p>
    <w:p w:rsidR="00000000" w:rsidDel="00000000" w:rsidP="00000000" w:rsidRDefault="00000000" w:rsidRPr="00000000" w14:paraId="0000004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Responder por danos causados diretamente à Contratante ou a terceiros, decorrentes de sua culpa ou dolo, quando da execução contratual;</w:t>
      </w:r>
    </w:p>
    <w:p w:rsidR="00000000" w:rsidDel="00000000" w:rsidP="00000000" w:rsidRDefault="00000000" w:rsidRPr="00000000" w14:paraId="0000004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Acatar as orientações da Contratante, sujeitando-se a mais ampla e irrestrita fiscalização, prestando esclarecimentos solicitados e atendendo às reclamações formuladas;</w:t>
      </w:r>
    </w:p>
    <w:p w:rsidR="00000000" w:rsidDel="00000000" w:rsidP="00000000" w:rsidRDefault="00000000" w:rsidRPr="00000000" w14:paraId="0000004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todas as condições de habilitação aferidas no processo de contratação durante a execução contratual;</w:t>
      </w:r>
    </w:p>
    <w:p w:rsidR="00000000" w:rsidDel="00000000" w:rsidP="00000000" w:rsidRDefault="00000000" w:rsidRPr="00000000" w14:paraId="0000004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empresa contratada deverá fornecer todos os materiais, mão-de-obra, equipamentos, transporte e ferramentas necessárias à execução dos serviços, inclusive aqueles de segurança e proteção individual</w:t>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o local da entrega dos serviços, bem como as partes afetadas, permanentemente limpos, prevendo-se a proteção dos bens móveis, com material apropriado, no caso de risco de danos ou manchas provenientes do serviço.</w:t>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Responsabilizar-se pelos encargos trabalhistas, sociais, previdenciários, fiscais, comerciais, taxas, impostos, emolumentos e multas decorrentes da execução e legalização dos serviços e por todas as demais despesas resultantes de sua execução;</w:t>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Proceder, ao término dos serviços, à limpeza e remoção do material indesejável.</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Contratante:</w:t>
      </w:r>
    </w:p>
    <w:p w:rsidR="00000000" w:rsidDel="00000000" w:rsidP="00000000" w:rsidRDefault="00000000" w:rsidRPr="00000000" w14:paraId="00000050">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Convocar a adjudicatária, dentro do prazo de eficácia de sua proposta, para assinatura da Ata;</w:t>
      </w:r>
    </w:p>
    <w:p w:rsidR="00000000" w:rsidDel="00000000" w:rsidP="00000000" w:rsidRDefault="00000000" w:rsidRPr="00000000" w14:paraId="0000005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Publicar o extrato da Ata na forma da Lei;</w:t>
      </w:r>
    </w:p>
    <w:p w:rsidR="00000000" w:rsidDel="00000000" w:rsidP="00000000" w:rsidRDefault="00000000" w:rsidRPr="00000000" w14:paraId="0000005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Nota de Empenho e/ou Ordem de Fornecimento;</w:t>
      </w:r>
    </w:p>
    <w:p w:rsidR="00000000" w:rsidDel="00000000" w:rsidP="00000000" w:rsidRDefault="00000000" w:rsidRPr="00000000" w14:paraId="0000005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Exigir o cumprimento de todas as obrigações assumidas pela empresa vencedora, de acordo como os termos deste documento;</w:t>
      </w:r>
    </w:p>
    <w:p w:rsidR="00000000" w:rsidDel="00000000" w:rsidP="00000000" w:rsidRDefault="00000000" w:rsidRPr="00000000" w14:paraId="00000054">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Reservar local apropriado para o recebimento do objeto deste documento;</w:t>
      </w:r>
    </w:p>
    <w:p w:rsidR="00000000" w:rsidDel="00000000" w:rsidP="00000000" w:rsidRDefault="00000000" w:rsidRPr="00000000" w14:paraId="0000005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 pessoal disponível para o recebimento do objeto no horário previsto neste documento;</w:t>
      </w:r>
    </w:p>
    <w:p w:rsidR="00000000" w:rsidDel="00000000" w:rsidP="00000000" w:rsidRDefault="00000000" w:rsidRPr="00000000" w14:paraId="0000005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Receber o objeto de acordo com as especificações descritas neste documento;</w:t>
      </w:r>
    </w:p>
    <w:p w:rsidR="00000000" w:rsidDel="00000000" w:rsidP="00000000" w:rsidRDefault="00000000" w:rsidRPr="00000000" w14:paraId="00000057">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Permitir o livre acesso dos empregados da empresa nas dependências da Contratante para entrega do objeto deste Termo de Referência, desde que uniformizados e identificados com crachá;</w:t>
      </w:r>
    </w:p>
    <w:p w:rsidR="00000000" w:rsidDel="00000000" w:rsidP="00000000" w:rsidRDefault="00000000" w:rsidRPr="00000000" w14:paraId="0000005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nas condições e preço pactuado;</w:t>
      </w:r>
    </w:p>
    <w:p w:rsidR="00000000" w:rsidDel="00000000" w:rsidP="00000000" w:rsidRDefault="00000000" w:rsidRPr="00000000" w14:paraId="00000059">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por escrito, sobre imperfeições, falhas ou irregularidades verificadas no objeto fornecido, para que seja substituído, reparado ou corrigido, sem prejuízo das penalidades cabíveis;</w:t>
      </w:r>
    </w:p>
    <w:p w:rsidR="00000000" w:rsidDel="00000000" w:rsidP="00000000" w:rsidRDefault="00000000" w:rsidRPr="00000000" w14:paraId="0000005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Acompanhar a entrega do objeto, por intermédio de representante especialmente designado;</w:t>
      </w:r>
    </w:p>
    <w:p w:rsidR="00000000" w:rsidDel="00000000" w:rsidP="00000000" w:rsidRDefault="00000000" w:rsidRPr="00000000" w14:paraId="0000005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5C">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à Contratada as penalidades regulamentares contratuais.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2"/>
        </w:numPr>
        <w:pBdr>
          <w:top w:space="0" w:sz="0" w:val="nil"/>
          <w:left w:space="0" w:sz="0" w:val="nil"/>
          <w:bottom w:color="000000" w:space="0"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PAGAMENTO</w:t>
      </w:r>
    </w:p>
    <w:p w:rsidR="00000000" w:rsidDel="00000000" w:rsidP="00000000" w:rsidRDefault="00000000" w:rsidRPr="00000000" w14:paraId="0000005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000000" w:rsidDel="00000000" w:rsidP="00000000" w:rsidRDefault="00000000" w:rsidRPr="00000000" w14:paraId="0000006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Havendo erro na Fatura/Nota Fiscal/Recibo, ou outra circunstância que desaprove a liquidação, o pagamento será sustado, até que sejam tomadas as medidas saneadoras necessárias.</w:t>
      </w:r>
    </w:p>
    <w:p w:rsidR="00000000" w:rsidDel="00000000" w:rsidP="00000000" w:rsidRDefault="00000000" w:rsidRPr="00000000" w14:paraId="0000006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pagamentos podem ser realizados com recursos próprios e/ou com recursos de convênios.</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ATA DE REGISTRO DE PREÇOS</w:t>
      </w:r>
    </w:p>
    <w:p w:rsidR="00000000" w:rsidDel="00000000" w:rsidP="00000000" w:rsidRDefault="00000000" w:rsidRPr="00000000" w14:paraId="0000006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de validade da ARP será de 12 (doze) meses, contados a partir da sua assinatura, tendo sua eficácia a partir da data de publicação do seu extrato no Diário Oficial do Município. </w:t>
      </w:r>
    </w:p>
    <w:p w:rsidR="00000000" w:rsidDel="00000000" w:rsidP="00000000" w:rsidRDefault="00000000" w:rsidRPr="00000000" w14:paraId="0000006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somente ocorrerá entre os órgãos e entidades da Administração Pública Municipal de Maceió.</w:t>
      </w:r>
    </w:p>
    <w:p w:rsidR="00000000" w:rsidDel="00000000" w:rsidP="00000000" w:rsidRDefault="00000000" w:rsidRPr="00000000" w14:paraId="0000006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000000" w:rsidDel="00000000" w:rsidP="00000000" w:rsidRDefault="00000000" w:rsidRPr="00000000" w14:paraId="0000006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de que trata o item 12.3 somente poderá ser feito de órgão participante para órgão participante e de órgão participante para órgão não participante.</w:t>
      </w:r>
    </w:p>
    <w:p w:rsidR="00000000" w:rsidDel="00000000" w:rsidP="00000000" w:rsidRDefault="00000000" w:rsidRPr="00000000" w14:paraId="0000006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remanejamento de órgão participante para órgão não participante, devem ser observados os limites previstos nos § 3º do art. 22 do Decreto nº 7.492, de 11 de Abril de 2013. </w:t>
      </w:r>
    </w:p>
    <w:p w:rsidR="00000000" w:rsidDel="00000000" w:rsidP="00000000" w:rsidRDefault="00000000" w:rsidRPr="00000000" w14:paraId="0000006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gestão da ARP caberá à Agência Municipal de Regulação de Serviços Delegados – ARSER, situada na Rua Eng. Roberto Gonçalves Menezes, 71, Centro, Maceió-AL, CEP 57020-680.</w:t>
      </w:r>
    </w:p>
    <w:p w:rsidR="00000000" w:rsidDel="00000000" w:rsidP="00000000" w:rsidRDefault="00000000" w:rsidRPr="00000000" w14:paraId="0000006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00000" w:rsidDel="00000000" w:rsidP="00000000" w:rsidRDefault="00000000" w:rsidRPr="00000000" w14:paraId="0000006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Caberá ao Gerenciador da Ata realizar, periodicamente, pesquisa de mercado para comprovação da vantajosidade dos preços registrados.</w:t>
      </w:r>
    </w:p>
    <w:p w:rsidR="00000000" w:rsidDel="00000000" w:rsidP="00000000" w:rsidRDefault="00000000" w:rsidRPr="00000000" w14:paraId="0000006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efeito do disposto no subitem 12.3, caberá ao Órgão Gerenciador autorizar o remanejamento solicitado, com a redução do quantitativo inicialmente informado pelo Órgão Participante, desde que haja prévia anuência do Órgão que vier a sofre redução dos quantitativos informados.</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CONTRATAÇÃO</w:t>
      </w:r>
    </w:p>
    <w:p w:rsidR="00000000" w:rsidDel="00000000" w:rsidP="00000000" w:rsidRDefault="00000000" w:rsidRPr="00000000" w14:paraId="0000006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termo de contrato será substituído por Nota de Empenho e/ou por Ordem de Fornecimento.</w:t>
      </w:r>
    </w:p>
    <w:p w:rsidR="00000000" w:rsidDel="00000000" w:rsidP="00000000" w:rsidRDefault="00000000" w:rsidRPr="00000000" w14:paraId="0000007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para a licitante vencedora aceitar ou retirar a Nota de Empenho e /ou por Ordem de Fornecimento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000000" w:rsidDel="00000000" w:rsidP="00000000" w:rsidRDefault="00000000" w:rsidRPr="00000000" w14:paraId="0000007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ao edital, sendo esta declarada vencedora.</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FISCALIZAÇÃO / ACOMPANHAMENTO DO FORNECIMENTO</w:t>
      </w:r>
    </w:p>
    <w:p w:rsidR="00000000" w:rsidDel="00000000" w:rsidP="00000000" w:rsidRDefault="00000000" w:rsidRPr="00000000" w14:paraId="0000007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será acompanhada por servidor a ser designado pelo Gestor da Pasta.</w:t>
      </w:r>
      <w:r w:rsidDel="00000000" w:rsidR="00000000" w:rsidRPr="00000000">
        <w:rPr>
          <w:rtl w:val="0"/>
        </w:rPr>
      </w:r>
    </w:p>
    <w:p w:rsidR="00000000" w:rsidDel="00000000" w:rsidP="00000000" w:rsidRDefault="00000000" w:rsidRPr="00000000" w14:paraId="0000007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da contratação terá, entre outras, as seguintes atribuições: </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Expedir ordens de fornecimento; </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Proceder ao acompanhamento da entrega do objeto quanto à qualidade e quantidade desejada; </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o descumprimento da contratação e indicar os procedimentos necessários ao seu correto cumprimento; </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à Administração a aplicação de penalidades por descumprimento das obrigações assumidas; </w:t>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atestados de capacidade técnica quando solicitado, desde que atendidas às obrigações assumidas; </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Atestar as notas fiscais relativas à entrega do objeto para efeito de pagamentos; </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Recusar o objeto que for entregue fora das especificações contidas neste Termo ou que forem entregues em quantidades divergentes daquelas constantes na ordem de fornecimento;</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Solicitar à Contratada e a seu preposto todas as providências necessárias ao bom e fiel cumprimento das obrigações.</w:t>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Determinar a imediata retirada do local de trabalho de empregado que estiver sem uniforme ou crachá, que embaraçar ou dificultar a sua fiscalização, exigindo sua substituição imediata</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REAJUSTE, DOS ACRÉSCIMOS OU SUPRESSÕES</w:t>
      </w:r>
    </w:p>
    <w:p w:rsidR="00000000" w:rsidDel="00000000" w:rsidP="00000000" w:rsidRDefault="00000000" w:rsidRPr="00000000" w14:paraId="0000008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Fica proibido o reajuste do valor durante a vigência da Ata.</w:t>
      </w:r>
    </w:p>
    <w:p w:rsidR="00000000" w:rsidDel="00000000" w:rsidP="00000000" w:rsidRDefault="00000000" w:rsidRPr="00000000" w14:paraId="0000008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Após o período mencionado no “caput”, será admitido o reajuste, utilizando-se como base o IPCA (Índice de Preços ao Consumidor Amplo).</w:t>
      </w:r>
    </w:p>
    <w:p w:rsidR="00000000" w:rsidDel="00000000" w:rsidP="00000000" w:rsidRDefault="00000000" w:rsidRPr="00000000" w14:paraId="0000008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Pode ocorrer a revisão da ata, tencionando o reequilíbrio econômico financeiro, desde que haja incidência de fato imprevisível e devidamente justificado, conforme art. 37, XXI, DA CF/88, arts. 57,§§ 1º e 2º, 65, II, “d” e § 6º, todos da Lei n.8666/93 e arts. 17/19 do Decreto Municipal nº 7.496/2013.</w:t>
      </w:r>
    </w:p>
    <w:p w:rsidR="00000000" w:rsidDel="00000000" w:rsidP="00000000" w:rsidRDefault="00000000" w:rsidRPr="00000000" w14:paraId="0000008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revisão deverá incidir a partir da data em que for protocolado, com fundamento no item anterior, o pedido da contratada.</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SANÇÕES</w:t>
      </w:r>
    </w:p>
    <w:p w:rsidR="00000000" w:rsidDel="00000000" w:rsidP="00000000" w:rsidRDefault="00000000" w:rsidRPr="00000000" w14:paraId="0000008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de inexecução parcial ou total das condições pactuadas, erro ou demora na execução do Contratação, garantida a prévia defesa, ficará a Contratada sujeita às sanções indicadas abaixo, sem prejuízo de outras previstas na legislação vigente:</w:t>
      </w:r>
      <w:r w:rsidDel="00000000" w:rsidR="00000000" w:rsidRPr="00000000">
        <w:rPr>
          <w:rtl w:val="0"/>
        </w:rPr>
      </w:r>
    </w:p>
    <w:p w:rsidR="00000000" w:rsidDel="00000000" w:rsidP="00000000" w:rsidRDefault="00000000" w:rsidRPr="00000000" w14:paraId="0000008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Advertência formal: falhas ou irregularidades que não acarretem prejuízos à Administração;</w:t>
      </w:r>
    </w:p>
    <w:p w:rsidR="00000000" w:rsidDel="00000000" w:rsidP="00000000" w:rsidRDefault="00000000" w:rsidRPr="00000000" w14:paraId="0000008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atraso na entrega do produto em relação ao prazo estipulado: 1% (um por cento) do valor do produto não entregue, por dia decorrido, até o limite de 10% (dez por cento);</w:t>
      </w:r>
    </w:p>
    <w:p w:rsidR="00000000" w:rsidDel="00000000" w:rsidP="00000000" w:rsidRDefault="00000000" w:rsidRPr="00000000" w14:paraId="0000008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recusa em efetuar o fornecimento e/ou pela não entrega do produto, caracterizada em dez dias após o vencimento do prazo de entrega estipulado: 10% (dez por cento) do valor do </w:t>
      </w:r>
      <w:r w:rsidDel="00000000" w:rsidR="00000000" w:rsidRPr="00000000">
        <w:rPr>
          <w:rFonts w:ascii="Calibri" w:cs="Calibri" w:eastAsia="Calibri" w:hAnsi="Calibri"/>
          <w:sz w:val="22"/>
          <w:szCs w:val="22"/>
          <w:rtl w:val="0"/>
        </w:rPr>
        <w:t xml:space="preserve">pedido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demora em substituir o produto rejeitado, a contar do primeiro dia após o vencimento do prazo estipulado para a substituição: 2% (dois por cento) do valor do produto recusado, por dia decorrido, até o limite de 10% (dez por cento);</w:t>
      </w:r>
    </w:p>
    <w:p w:rsidR="00000000" w:rsidDel="00000000" w:rsidP="00000000" w:rsidRDefault="00000000" w:rsidRPr="00000000" w14:paraId="0000008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não cumprimento de qualquer condição fixada neste Termo de Referência e não abrangida nas alíneas anteriores: 1% (um por cento) do valor contratado, para cada evento;</w:t>
      </w:r>
    </w:p>
    <w:p w:rsidR="00000000" w:rsidDel="00000000" w:rsidP="00000000" w:rsidRDefault="00000000" w:rsidRPr="00000000" w14:paraId="0000008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Suspensão temporária, pelo período de até 02 (dois) anos, de participação em licitação e contratação com o Município de Maceió;</w:t>
      </w:r>
    </w:p>
    <w:p w:rsidR="00000000" w:rsidDel="00000000" w:rsidP="00000000" w:rsidRDefault="00000000" w:rsidRPr="00000000" w14:paraId="0000008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inidoneidade, que o impede de participar de licitações, bem como de contratar com a Administração Pública pelo prazo de até cinco anos. </w:t>
      </w:r>
    </w:p>
    <w:p w:rsidR="00000000" w:rsidDel="00000000" w:rsidP="00000000" w:rsidRDefault="00000000" w:rsidRPr="00000000" w14:paraId="0000008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ocorrência de falhas ou irregularidades diferentes daquelas indicadas no item anterior, a Administração poderá aplicar à futura Contratada quaisquer das sanções listadas no item 15.1, consideradas a natureza e a gravidade da infração cometida e sem prejuízo da responsabilidade civil e criminal que seus atos ensejarem.</w:t>
      </w:r>
    </w:p>
    <w:p w:rsidR="00000000" w:rsidDel="00000000" w:rsidP="00000000" w:rsidRDefault="00000000" w:rsidRPr="00000000" w14:paraId="0000009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critério da Contratante e nos termos do art. 87, § 2º, da Lei nº 8.666/93, as sanções previstas nas alíneas “f” e “g” poderão ser aplicadas cumulativamente com quaisquer das multas previstas nas alíneas “b” a “e”.</w:t>
      </w:r>
    </w:p>
    <w:p w:rsidR="00000000" w:rsidDel="00000000" w:rsidP="00000000" w:rsidRDefault="00000000" w:rsidRPr="00000000" w14:paraId="0000009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multas previstas, caso sejam aplicadas, serão descontadas por ocasião de pagamentos futuros ou serão pagas por meio de Documento de Arrecadação Municipal (DAM) pela futura Contratada no prazo que o despacho de sua aplicação determinar.</w:t>
      </w:r>
    </w:p>
    <w:p w:rsidR="00000000" w:rsidDel="00000000" w:rsidP="00000000" w:rsidRDefault="00000000" w:rsidRPr="00000000" w14:paraId="0000009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fixadas serão aplicadas nos autos do processo de gestão do Contratação, no qual será assegurado à futura contratada o contraditório e a ampla defesa.</w:t>
      </w:r>
    </w:p>
    <w:p w:rsidR="00000000" w:rsidDel="00000000" w:rsidP="00000000" w:rsidRDefault="00000000" w:rsidRPr="00000000" w14:paraId="0000009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para efeito de cálculo de multa, será contado em dias corridos, a partir do dia seguinte ao do vencimento do prazo de entrega dos produtos, se dia de expediente normal no órgão ou entidade interessada, ou do primeiro dia útil seguinte.</w:t>
      </w:r>
    </w:p>
    <w:p w:rsidR="00000000" w:rsidDel="00000000" w:rsidP="00000000" w:rsidRDefault="00000000" w:rsidRPr="00000000" w14:paraId="0000009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30 (trinta) dias de atraso injustificado na entrega dos produtos, a Nota de Empenho ou Contratação deverá ser cancelada ou rescindido, exceto se houver justificado interesse público em manter a avença, hipótese em que será aplicada multa.</w:t>
      </w:r>
    </w:p>
    <w:p w:rsidR="00000000" w:rsidDel="00000000" w:rsidP="00000000" w:rsidRDefault="00000000" w:rsidRPr="00000000" w14:paraId="0000009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suspensão e o impedimento são sanções administrativas que temporariamente obstam a participação em licitação e a contratação, sendo aplicadas nos seguintes prazos e hipóteses: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30 (trinta) dias, quando, vencido o prazo da Advertência, a Contratada permanecer inadimplente;</w:t>
      </w:r>
    </w:p>
    <w:p w:rsidR="00000000" w:rsidDel="00000000" w:rsidP="00000000" w:rsidRDefault="00000000" w:rsidRPr="00000000" w14:paraId="0000009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01 (um) ano, quando a Contratada falhar ou fraudar na execução do Contratação, comportar-se de modo inidôneo, fizer declaração falsa ou cometer fraude fiscal; e</w:t>
      </w:r>
    </w:p>
    <w:p w:rsidR="00000000" w:rsidDel="00000000" w:rsidP="00000000" w:rsidRDefault="00000000" w:rsidRPr="00000000" w14:paraId="0000009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02 (dois) anos, quando a Contratada:</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c.1) Praticar atos ilegais ou imorais visando frustrar os objetivos da contratação; ou</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 For multada, e não efetuar o pagamento.</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no item 16.8, alínea “c”, poderá ser aumentado em até 5 (cinco) anos.</w:t>
      </w:r>
    </w:p>
    <w:p w:rsidR="00000000" w:rsidDel="00000000" w:rsidP="00000000" w:rsidRDefault="00000000" w:rsidRPr="00000000" w14:paraId="0000009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000000" w:rsidDel="00000000" w:rsidP="00000000" w:rsidRDefault="00000000" w:rsidRPr="00000000" w14:paraId="000000A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será aplicada à vista dos motivos informados na instrução processual, podendo a reabilitação ser requerida após 2 (dois) anos de sua aplicação.</w:t>
      </w:r>
    </w:p>
    <w:p w:rsidR="00000000" w:rsidDel="00000000" w:rsidP="00000000" w:rsidRDefault="00000000" w:rsidRPr="00000000" w14:paraId="000000A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000000" w:rsidDel="00000000" w:rsidP="00000000" w:rsidRDefault="00000000" w:rsidRPr="00000000" w14:paraId="000000A2">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administrativas serão registradas no SICAF.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numPr>
          <w:ilvl w:val="0"/>
          <w:numId w:val="2"/>
        </w:numPr>
        <w:pBdr>
          <w:bottom w:color="000000" w:space="1" w:sz="4" w:val="single"/>
        </w:pBdr>
        <w:tabs>
          <w:tab w:val="left" w:pos="284"/>
        </w:tabs>
        <w:ind w:left="3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DISPOSIÇÕES GERAIS/INFORMAÇÕES COMPLEMENTARES</w:t>
      </w:r>
    </w:p>
    <w:p w:rsidR="00000000" w:rsidDel="00000000" w:rsidP="00000000" w:rsidRDefault="00000000" w:rsidRPr="00000000" w14:paraId="000000A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Setor Técnico competente auxiliará o pregoeiro nos casos de pedidos de esclarecimentos, impugnações e análise de propostas.</w:t>
      </w:r>
    </w:p>
    <w:p w:rsidR="00000000" w:rsidDel="00000000" w:rsidP="00000000" w:rsidRDefault="00000000" w:rsidRPr="00000000" w14:paraId="000000A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Eventuais pedidos de informações/esclarecimentos deverão ser encaminhados a Agência Municipal de Regulação de Serviços Delegados - ARSER, através do email: gerencia.planejamento@arser.maceio.al.gov.br, telefone para contato (82)</w:t>
      </w:r>
      <w:r w:rsidDel="00000000" w:rsidR="00000000" w:rsidRPr="00000000">
        <w:rPr>
          <w:rFonts w:ascii="Calibri" w:cs="Calibri" w:eastAsia="Calibri" w:hAnsi="Calibri"/>
          <w:sz w:val="22"/>
          <w:szCs w:val="22"/>
          <w:rtl w:val="0"/>
        </w:rPr>
        <w:t xml:space="preserve">3312-5100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7">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tabs>
          <w:tab w:val="left" w:pos="28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Maceió, 16 de abril de 2020</w:t>
      </w:r>
    </w:p>
    <w:p w:rsidR="00000000" w:rsidDel="00000000" w:rsidP="00000000" w:rsidRDefault="00000000" w:rsidRPr="00000000" w14:paraId="000000A9">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tabs>
          <w:tab w:val="left" w:pos="5510"/>
        </w:tabs>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A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Diego Passos Lima</w:t>
      </w:r>
    </w:p>
    <w:p w:rsidR="00000000" w:rsidDel="00000000" w:rsidP="00000000" w:rsidRDefault="00000000" w:rsidRPr="00000000" w14:paraId="000000AC">
      <w:pPr>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Gerente de Planejamento e Contratações</w:t>
      </w:r>
      <w:r w:rsidDel="00000000" w:rsidR="00000000" w:rsidRPr="00000000">
        <w:rPr>
          <w:rtl w:val="0"/>
        </w:rPr>
      </w:r>
    </w:p>
    <w:p w:rsidR="00000000" w:rsidDel="00000000" w:rsidP="00000000" w:rsidRDefault="00000000" w:rsidRPr="00000000" w14:paraId="000000A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 DESCRIÇÃO DOS PRODUTOS E QUANTITATIVOS</w:t>
      </w:r>
    </w:p>
    <w:p w:rsidR="00000000" w:rsidDel="00000000" w:rsidP="00000000" w:rsidRDefault="00000000" w:rsidRPr="00000000" w14:paraId="000000B0">
      <w:pPr>
        <w:tabs>
          <w:tab w:val="left" w:pos="284"/>
        </w:tabs>
        <w:spacing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OBJETO: </w:t>
      </w:r>
      <w:r w:rsidDel="00000000" w:rsidR="00000000" w:rsidRPr="00000000">
        <w:rPr>
          <w:rFonts w:ascii="Calibri" w:cs="Calibri" w:eastAsia="Calibri" w:hAnsi="Calibri"/>
          <w:sz w:val="22"/>
          <w:szCs w:val="22"/>
          <w:rtl w:val="0"/>
        </w:rPr>
        <w:t xml:space="preserve">O objeto perfaz Registrar Preços para o futuro e eventual fornecimento de Placas de identificação de obras (com instalação), para atendimento aos diversos Órgãos e Entidades da Administração Pública do Município de Maceió, nas especificações e quantidades constantes no Anexo I deste Termo de Referência nas especificações e quantidades constantes abaixo:</w:t>
      </w:r>
    </w:p>
    <w:p w:rsidR="00000000" w:rsidDel="00000000" w:rsidP="00000000" w:rsidRDefault="00000000" w:rsidRPr="00000000" w14:paraId="000000B1">
      <w:pPr>
        <w:jc w:val="both"/>
        <w:rPr>
          <w:rFonts w:ascii="Calibri" w:cs="Calibri" w:eastAsia="Calibri" w:hAnsi="Calibri"/>
          <w:b w:val="1"/>
          <w:sz w:val="22"/>
          <w:szCs w:val="22"/>
        </w:rPr>
      </w:pPr>
      <w:r w:rsidDel="00000000" w:rsidR="00000000" w:rsidRPr="00000000">
        <w:rPr>
          <w:rtl w:val="0"/>
        </w:rPr>
      </w:r>
    </w:p>
    <w:tbl>
      <w:tblPr>
        <w:tblStyle w:val="Table1"/>
        <w:tblW w:w="99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6115"/>
        <w:gridCol w:w="1560"/>
        <w:gridCol w:w="1560"/>
        <w:tblGridChange w:id="0">
          <w:tblGrid>
            <w:gridCol w:w="684"/>
            <w:gridCol w:w="6115"/>
            <w:gridCol w:w="1560"/>
            <w:gridCol w:w="1560"/>
          </w:tblGrid>
        </w:tblGridChange>
      </w:tblGrid>
      <w:tr>
        <w:tc>
          <w:tcPr/>
          <w:p w:rsidR="00000000" w:rsidDel="00000000" w:rsidP="00000000" w:rsidRDefault="00000000" w:rsidRPr="00000000" w14:paraId="000000B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ITEM</w:t>
            </w:r>
          </w:p>
        </w:tc>
        <w:tc>
          <w:tcPr/>
          <w:p w:rsidR="00000000" w:rsidDel="00000000" w:rsidP="00000000" w:rsidRDefault="00000000" w:rsidRPr="00000000" w14:paraId="000000B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DESCRIÇÃO</w:t>
            </w:r>
          </w:p>
        </w:tc>
        <w:tc>
          <w:tcPr/>
          <w:p w:rsidR="00000000" w:rsidDel="00000000" w:rsidP="00000000" w:rsidRDefault="00000000" w:rsidRPr="00000000" w14:paraId="000000B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Und. de Medida</w:t>
            </w:r>
          </w:p>
        </w:tc>
        <w:tc>
          <w:tcPr/>
          <w:p w:rsidR="00000000" w:rsidDel="00000000" w:rsidP="00000000" w:rsidRDefault="00000000" w:rsidRPr="00000000" w14:paraId="000000B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QUANTITATIVO</w:t>
            </w:r>
          </w:p>
        </w:tc>
      </w:tr>
      <w:tr>
        <w:tc>
          <w:tcPr/>
          <w:p w:rsidR="00000000" w:rsidDel="00000000" w:rsidP="00000000" w:rsidRDefault="00000000" w:rsidRPr="00000000" w14:paraId="000000B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B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CAVALETE DE IDENTIFICAÇÃO DE OBRA.</w:t>
            </w:r>
            <w:r w:rsidDel="00000000" w:rsidR="00000000" w:rsidRPr="00000000">
              <w:rPr>
                <w:rFonts w:ascii="Calibri" w:cs="Calibri" w:eastAsia="Calibri" w:hAnsi="Calibri"/>
                <w:sz w:val="20"/>
                <w:szCs w:val="20"/>
                <w:rtl w:val="0"/>
              </w:rPr>
              <w:t xml:space="preserve"> Estrutura em ferro galvanizado (sustentação), frente e verso com dobradiça e corrente galvanizada, com impressão colorida em lona vinílica branca. Formato das letras: o texto da placa e a fonte deverão seguir o layout fornecido pela ARSER; Tamanho das letras: variável, de acordo com layout fornecido pela ARSER; Tamanho da placa: altura de 50 (cinquenta) centímetros e comprimento de 70 (setenta) centímetros; Prazo de entrega e instalação: até 7 (sete) dias consecutivos.</w:t>
            </w:r>
          </w:p>
          <w:p w:rsidR="00000000" w:rsidDel="00000000" w:rsidP="00000000" w:rsidRDefault="00000000" w:rsidRPr="00000000" w14:paraId="000000B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Catmat: 132128</w:t>
            </w:r>
          </w:p>
        </w:tc>
        <w:tc>
          <w:tcPr/>
          <w:p w:rsidR="00000000" w:rsidDel="00000000" w:rsidP="00000000" w:rsidRDefault="00000000" w:rsidRPr="00000000" w14:paraId="000000BB">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w:t>
            </w:r>
          </w:p>
        </w:tc>
        <w:tc>
          <w:tcPr/>
          <w:p w:rsidR="00000000" w:rsidDel="00000000" w:rsidP="00000000" w:rsidRDefault="00000000" w:rsidRPr="00000000" w14:paraId="000000C0">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jc w:val="center"/>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C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p w:rsidR="00000000" w:rsidDel="00000000" w:rsidP="00000000" w:rsidRDefault="00000000" w:rsidRPr="00000000" w14:paraId="000000C6">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PLACA DE IDENTIFICAÇÃO DE OBRA. </w:t>
            </w:r>
            <w:r w:rsidDel="00000000" w:rsidR="00000000" w:rsidRPr="00000000">
              <w:rPr>
                <w:rFonts w:ascii="Calibri" w:cs="Calibri" w:eastAsia="Calibri" w:hAnsi="Calibri"/>
                <w:sz w:val="20"/>
                <w:szCs w:val="20"/>
                <w:rtl w:val="0"/>
              </w:rPr>
              <w:t xml:space="preserve">Estrutura em ferro galvanizado (sustentação), com impressão colorida em lona vinílica branca; Fixação: parafusado e/ou sustentado por estrutura de ferro galvanizado; Cores: conforme layout fornecido pela ARSER; Formato das letras: o texto da placa e a fonte deverão seguir o layout fornecido pela ARSER; Tamanho das letras: variável, de acordo com layout fornecido pela ARSER; Tamanho da placa: altura de 3 (três) metros e comprimento de 7 (sete) metros; Prazo de entrega e instalação: até 7 (sete) dias consecutivos.</w:t>
            </w:r>
          </w:p>
          <w:p w:rsidR="00000000" w:rsidDel="00000000" w:rsidP="00000000" w:rsidRDefault="00000000" w:rsidRPr="00000000" w14:paraId="000000C7">
            <w:pPr>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Catmat: 22519</w:t>
            </w:r>
            <w:r w:rsidDel="00000000" w:rsidR="00000000" w:rsidRPr="00000000">
              <w:rPr>
                <w:rtl w:val="0"/>
              </w:rPr>
            </w:r>
          </w:p>
        </w:tc>
        <w:tc>
          <w:tcPr/>
          <w:p w:rsidR="00000000" w:rsidDel="00000000" w:rsidP="00000000" w:rsidRDefault="00000000" w:rsidRPr="00000000" w14:paraId="000000C8">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B">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w:t>
            </w:r>
          </w:p>
        </w:tc>
        <w:tc>
          <w:tcPr/>
          <w:p w:rsidR="00000000" w:rsidDel="00000000" w:rsidP="00000000" w:rsidRDefault="00000000" w:rsidRPr="00000000" w14:paraId="000000C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jc w:val="center"/>
              <w:rPr>
                <w:rFonts w:ascii="Calibri" w:cs="Calibri" w:eastAsia="Calibri" w:hAnsi="Calibri"/>
                <w:sz w:val="22"/>
                <w:szCs w:val="22"/>
              </w:rPr>
            </w:pPr>
            <w:r w:rsidDel="00000000" w:rsidR="00000000" w:rsidRPr="00000000">
              <w:rPr>
                <w:rtl w:val="0"/>
              </w:rPr>
            </w:r>
          </w:p>
        </w:tc>
      </w:tr>
      <w:tr>
        <w:trPr>
          <w:trHeight w:val="2437" w:hRule="atLeast"/>
        </w:trPr>
        <w:tc>
          <w:tcPr/>
          <w:p w:rsidR="00000000" w:rsidDel="00000000" w:rsidP="00000000" w:rsidRDefault="00000000" w:rsidRPr="00000000" w14:paraId="000000D1">
            <w:pPr>
              <w:jc w:val="center"/>
              <w:rPr>
                <w:rFonts w:ascii="Calibri" w:cs="Calibri" w:eastAsia="Calibri" w:hAnsi="Calibri"/>
                <w:b w:val="1"/>
                <w:sz w:val="20"/>
                <w:szCs w:val="20"/>
              </w:rPr>
            </w:pPr>
            <w:bookmarkStart w:colFirst="0" w:colLast="0" w:name="_gjdgxs" w:id="0"/>
            <w:bookmarkEnd w:id="0"/>
            <w:r w:rsidDel="00000000" w:rsidR="00000000" w:rsidRPr="00000000">
              <w:rPr>
                <w:rFonts w:ascii="Calibri" w:cs="Calibri" w:eastAsia="Calibri" w:hAnsi="Calibri"/>
                <w:b w:val="1"/>
                <w:sz w:val="20"/>
                <w:szCs w:val="20"/>
                <w:rtl w:val="0"/>
              </w:rPr>
              <w:t xml:space="preserve">3</w:t>
            </w:r>
          </w:p>
        </w:tc>
        <w:tc>
          <w:tcPr/>
          <w:p w:rsidR="00000000" w:rsidDel="00000000" w:rsidP="00000000" w:rsidRDefault="00000000" w:rsidRPr="00000000" w14:paraId="000000D2">
            <w:pP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PLACA DE IDENTIFICAÇÃO DE OBRA</w:t>
            </w:r>
            <w:r w:rsidDel="00000000" w:rsidR="00000000" w:rsidRPr="00000000">
              <w:rPr>
                <w:rFonts w:ascii="Calibri" w:cs="Calibri" w:eastAsia="Calibri" w:hAnsi="Calibri"/>
                <w:color w:val="000000"/>
                <w:sz w:val="22"/>
                <w:szCs w:val="22"/>
                <w:rtl w:val="0"/>
              </w:rPr>
              <w:t xml:space="preserve">. Estrutura em ferro galvanizado (sustentação), com impressão colorida em lona vinílica branca; Fixação: parafusado e/ou sustentado por estrutura de ferro galvanizado; Cores: conforme layout fornecido pela ARSER; Formato das letras: o texto da placa e a fonte deverão seguir o layout fornecido pela ARSER; Tamanho das letras: variável, de acordo com layout fornecido pela ARSER; Tamanho da placa: altura de 2 (dois) metros e comprimento de 3 (três) metros; Prazo de entrega e instalação: até 7 (sete) dias consecutivos.</w:t>
              <w:br w:type="textWrapping"/>
              <w:t xml:space="preserve">Catmat: 22519</w:t>
            </w:r>
          </w:p>
          <w:p w:rsidR="00000000" w:rsidDel="00000000" w:rsidP="00000000" w:rsidRDefault="00000000" w:rsidRPr="00000000" w14:paraId="000000D3">
            <w:pPr>
              <w:rPr>
                <w:rFonts w:ascii="Calibri" w:cs="Calibri" w:eastAsia="Calibri" w:hAnsi="Calibri"/>
                <w:b w:val="1"/>
                <w:sz w:val="20"/>
                <w:szCs w:val="20"/>
              </w:rPr>
            </w:pPr>
            <w:r w:rsidDel="00000000" w:rsidR="00000000" w:rsidRPr="00000000">
              <w:rPr>
                <w:rtl w:val="0"/>
              </w:rPr>
            </w:r>
          </w:p>
        </w:tc>
        <w:tc>
          <w:tcPr/>
          <w:p w:rsidR="00000000" w:rsidDel="00000000" w:rsidP="00000000" w:rsidRDefault="00000000" w:rsidRPr="00000000" w14:paraId="000000D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w:t>
            </w:r>
          </w:p>
        </w:tc>
        <w:tc>
          <w:tcPr/>
          <w:p w:rsidR="00000000" w:rsidDel="00000000" w:rsidP="00000000" w:rsidRDefault="00000000" w:rsidRPr="00000000" w14:paraId="000000D9">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A">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B">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C">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D">
            <w:pPr>
              <w:jc w:val="center"/>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DE">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p w:rsidR="00000000" w:rsidDel="00000000" w:rsidP="00000000" w:rsidRDefault="00000000" w:rsidRPr="00000000" w14:paraId="000000E1">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PLACA DE IDENTIFICAÇÃO DE OBRA.</w:t>
            </w:r>
            <w:r w:rsidDel="00000000" w:rsidR="00000000" w:rsidRPr="00000000">
              <w:rPr>
                <w:rFonts w:ascii="Calibri" w:cs="Calibri" w:eastAsia="Calibri" w:hAnsi="Calibri"/>
                <w:sz w:val="20"/>
                <w:szCs w:val="20"/>
                <w:rtl w:val="0"/>
              </w:rPr>
              <w:t xml:space="preserve"> Estrutura em ferro galvanizado (sustentação), com impressão colorida em lona vinílica branca; Fixação: parafusado e/ou sustentado por estrutura de ferro galvanizado; Cores: conforme layout fornecido pela ARSER; Formato das letras: o texto da placa e a fonte deverão seguir o layout fornecido pela ARSER; Tamanho das letras: variável, de acordo com layout fornecido pela ARSER; Tamanho da placa: altura de 3 (três) metros e comprimento de 5 (cinco) metros; Prazo de entrega e instalação: até 7 (sete) dias consecutivos.</w:t>
            </w:r>
          </w:p>
          <w:p w:rsidR="00000000" w:rsidDel="00000000" w:rsidP="00000000" w:rsidRDefault="00000000" w:rsidRPr="00000000" w14:paraId="000000E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Catmat: 22519</w:t>
            </w:r>
          </w:p>
        </w:tc>
        <w:tc>
          <w:tcPr/>
          <w:p w:rsidR="00000000" w:rsidDel="00000000" w:rsidP="00000000" w:rsidRDefault="00000000" w:rsidRPr="00000000" w14:paraId="000000E3">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w:t>
            </w:r>
          </w:p>
        </w:tc>
        <w:tc>
          <w:tcPr/>
          <w:p w:rsidR="00000000" w:rsidDel="00000000" w:rsidP="00000000" w:rsidRDefault="00000000" w:rsidRPr="00000000" w14:paraId="000000E8">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jc w:val="center"/>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0E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p w:rsidR="00000000" w:rsidDel="00000000" w:rsidP="00000000" w:rsidRDefault="00000000" w:rsidRPr="00000000" w14:paraId="000000ED">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CAVALETE DE IDENTIFICAÇÃO DE OBRA. </w:t>
            </w:r>
            <w:r w:rsidDel="00000000" w:rsidR="00000000" w:rsidRPr="00000000">
              <w:rPr>
                <w:rFonts w:ascii="Calibri" w:cs="Calibri" w:eastAsia="Calibri" w:hAnsi="Calibri"/>
                <w:sz w:val="20"/>
                <w:szCs w:val="20"/>
                <w:rtl w:val="0"/>
              </w:rPr>
              <w:t xml:space="preserve">Estrutura em ferro galvanizado (sustentação), frente e verso com dobradiça e corrente galvanizada, com impressão colorida em lona vinílica branca. Formato das letras: o texto da placa e a fonte deverão seguir o layout fornecido pela ARSER; Tamanho das letras: variável, de acordo com layout fornecido pela ARSER; Tamanho da placa: altura de 120 (cento e vinte) centímetros e comprimento de 80 (oitenta) centímetros; Prazo de entrega e instalação: até 7 (sete) dias consecutivos.</w:t>
            </w:r>
          </w:p>
          <w:p w:rsidR="00000000" w:rsidDel="00000000" w:rsidP="00000000" w:rsidRDefault="00000000" w:rsidRPr="00000000" w14:paraId="000000E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Catmat: 306370</w:t>
            </w:r>
          </w:p>
        </w:tc>
        <w:tc>
          <w:tcPr/>
          <w:p w:rsidR="00000000" w:rsidDel="00000000" w:rsidP="00000000" w:rsidRDefault="00000000" w:rsidRPr="00000000" w14:paraId="000000EF">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0">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1">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2">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w:t>
            </w:r>
          </w:p>
        </w:tc>
        <w:tc>
          <w:tcPr/>
          <w:p w:rsidR="00000000" w:rsidDel="00000000" w:rsidP="00000000" w:rsidRDefault="00000000" w:rsidRPr="00000000" w14:paraId="000000F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5">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7">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8">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F9">
      <w:pPr>
        <w:ind w:left="2836" w:firstLine="708.999999999999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A">
      <w:pPr>
        <w:ind w:left="2836" w:firstLine="708.9999999999998"/>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C">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II- ENDEREÇOS DE ENTREGA DOS ÓRGÃOS</w:t>
      </w:r>
    </w:p>
    <w:p w:rsidR="00000000" w:rsidDel="00000000" w:rsidP="00000000" w:rsidRDefault="00000000" w:rsidRPr="00000000" w14:paraId="000000FD">
      <w:pPr>
        <w:ind w:left="2836" w:firstLine="708.9999999999998"/>
        <w:rPr>
          <w:rFonts w:ascii="Calibri" w:cs="Calibri" w:eastAsia="Calibri" w:hAnsi="Calibri"/>
          <w:b w:val="1"/>
          <w:sz w:val="22"/>
          <w:szCs w:val="22"/>
        </w:rPr>
      </w:pPr>
      <w:r w:rsidDel="00000000" w:rsidR="00000000" w:rsidRPr="00000000">
        <w:rPr>
          <w:rtl w:val="0"/>
        </w:rPr>
      </w:r>
    </w:p>
    <w:tbl>
      <w:tblPr>
        <w:tblStyle w:val="Table2"/>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
        <w:gridCol w:w="2127"/>
        <w:gridCol w:w="6775"/>
        <w:tblGridChange w:id="0">
          <w:tblGrid>
            <w:gridCol w:w="454"/>
            <w:gridCol w:w="2127"/>
            <w:gridCol w:w="6775"/>
          </w:tblGrid>
        </w:tblGridChange>
      </w:tblGrid>
      <w:tr>
        <w:trPr>
          <w:trHeight w:val="524" w:hRule="atLeast"/>
        </w:trPr>
        <w:tc>
          <w:tcPr>
            <w:gridSpan w:val="2"/>
            <w:vAlign w:val="center"/>
          </w:tcPr>
          <w:p w:rsidR="00000000" w:rsidDel="00000000" w:rsidP="00000000" w:rsidRDefault="00000000" w:rsidRPr="00000000" w14:paraId="000000F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ÓRGÃO GERENCIADOR</w:t>
            </w:r>
          </w:p>
        </w:tc>
        <w:tc>
          <w:tcPr>
            <w:vAlign w:val="center"/>
          </w:tcPr>
          <w:p w:rsidR="00000000" w:rsidDel="00000000" w:rsidP="00000000" w:rsidRDefault="00000000" w:rsidRPr="00000000" w14:paraId="0000010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ENDEREÇO</w:t>
            </w:r>
          </w:p>
        </w:tc>
      </w:tr>
      <w:tr>
        <w:trPr>
          <w:trHeight w:val="257" w:hRule="atLeast"/>
        </w:trPr>
        <w:tc>
          <w:tcPr/>
          <w:p w:rsidR="00000000" w:rsidDel="00000000" w:rsidP="00000000" w:rsidRDefault="00000000" w:rsidRPr="00000000" w14:paraId="0000010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p w:rsidR="00000000" w:rsidDel="00000000" w:rsidP="00000000" w:rsidRDefault="00000000" w:rsidRPr="00000000" w14:paraId="0000010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ARSER</w:t>
            </w:r>
          </w:p>
          <w:p w:rsidR="00000000" w:rsidDel="00000000" w:rsidP="00000000" w:rsidRDefault="00000000" w:rsidRPr="00000000" w14:paraId="00000103">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4">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Rua Eng. Roberto Gonçalves Menezes, 71, Centro, Maceió-AL, CEP 57020-680.</w:t>
            </w:r>
            <w:r w:rsidDel="00000000" w:rsidR="00000000" w:rsidRPr="00000000">
              <w:rPr>
                <w:rtl w:val="0"/>
              </w:rPr>
            </w:r>
          </w:p>
        </w:tc>
      </w:tr>
      <w:tr>
        <w:trPr>
          <w:trHeight w:val="353" w:hRule="atLeast"/>
        </w:trPr>
        <w:tc>
          <w:tcPr>
            <w:gridSpan w:val="2"/>
            <w:vAlign w:val="center"/>
          </w:tcPr>
          <w:p w:rsidR="00000000" w:rsidDel="00000000" w:rsidP="00000000" w:rsidRDefault="00000000" w:rsidRPr="00000000" w14:paraId="0000010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ÓRGÃOS PARTICIPANTES</w:t>
            </w:r>
          </w:p>
        </w:tc>
        <w:tc>
          <w:tcPr>
            <w:vAlign w:val="center"/>
          </w:tcPr>
          <w:p w:rsidR="00000000" w:rsidDel="00000000" w:rsidP="00000000" w:rsidRDefault="00000000" w:rsidRPr="00000000" w14:paraId="00000107">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ENDEREÇOS:</w:t>
            </w:r>
          </w:p>
        </w:tc>
      </w:tr>
      <w:tr>
        <w:trPr>
          <w:trHeight w:val="353" w:hRule="atLeast"/>
        </w:trPr>
        <w:tc>
          <w:tcPr/>
          <w:p w:rsidR="00000000" w:rsidDel="00000000" w:rsidP="00000000" w:rsidRDefault="00000000" w:rsidRPr="00000000" w14:paraId="0000010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p w:rsidR="00000000" w:rsidDel="00000000" w:rsidP="00000000" w:rsidRDefault="00000000" w:rsidRPr="00000000" w14:paraId="0000010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SEMINFRA</w:t>
            </w:r>
          </w:p>
        </w:tc>
        <w:tc>
          <w:tcPr/>
          <w:p w:rsidR="00000000" w:rsidDel="00000000" w:rsidP="00000000" w:rsidRDefault="00000000" w:rsidRPr="00000000" w14:paraId="0000010A">
            <w:pPr>
              <w:jc w:val="both"/>
              <w:rPr>
                <w:rFonts w:ascii="Calibri" w:cs="Calibri" w:eastAsia="Calibri" w:hAnsi="Calibri"/>
                <w:color w:val="000000"/>
                <w:sz w:val="22"/>
                <w:szCs w:val="22"/>
                <w:highlight w:val="white"/>
              </w:rPr>
            </w:pPr>
            <w:bookmarkStart w:colFirst="0" w:colLast="0" w:name="_30j0zll" w:id="1"/>
            <w:bookmarkEnd w:id="1"/>
            <w:r w:rsidDel="00000000" w:rsidR="00000000" w:rsidRPr="00000000">
              <w:rPr>
                <w:rFonts w:ascii="Calibri" w:cs="Calibri" w:eastAsia="Calibri" w:hAnsi="Calibri"/>
                <w:color w:val="000000"/>
                <w:sz w:val="22"/>
                <w:szCs w:val="22"/>
                <w:highlight w:val="white"/>
                <w:rtl w:val="0"/>
              </w:rPr>
              <w:t xml:space="preserve">Rua do Imperador, 307, Centro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57023-060 // Fones: (82) 3315-5005 /3536</w:t>
            </w:r>
          </w:p>
        </w:tc>
      </w:tr>
      <w:tr>
        <w:trPr>
          <w:trHeight w:val="353" w:hRule="atLeast"/>
        </w:trPr>
        <w:tc>
          <w:tcPr/>
          <w:p w:rsidR="00000000" w:rsidDel="00000000" w:rsidP="00000000" w:rsidRDefault="00000000" w:rsidRPr="00000000" w14:paraId="000001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p w:rsidR="00000000" w:rsidDel="00000000" w:rsidP="00000000" w:rsidRDefault="00000000" w:rsidRPr="00000000" w14:paraId="000001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SEMDS</w:t>
            </w:r>
          </w:p>
        </w:tc>
        <w:tc>
          <w:tcPr/>
          <w:p w:rsidR="00000000" w:rsidDel="00000000" w:rsidP="00000000" w:rsidRDefault="00000000" w:rsidRPr="00000000" w14:paraId="0000010D">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Marquês de Abrantes, s/n, Bebedouro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57018-655 // Fones: (82) 3315-4735 /4736 Parque Municipal: 3358-6232</w:t>
            </w:r>
          </w:p>
        </w:tc>
      </w:tr>
      <w:tr>
        <w:trPr>
          <w:trHeight w:val="353" w:hRule="atLeast"/>
        </w:trPr>
        <w:tc>
          <w:tcPr/>
          <w:p w:rsidR="00000000" w:rsidDel="00000000" w:rsidP="00000000" w:rsidRDefault="00000000" w:rsidRPr="00000000" w14:paraId="000001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p w:rsidR="00000000" w:rsidDel="00000000" w:rsidP="00000000" w:rsidRDefault="00000000" w:rsidRPr="00000000" w14:paraId="000001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SEMTABES</w:t>
            </w:r>
          </w:p>
        </w:tc>
        <w:tc>
          <w:tcPr/>
          <w:p w:rsidR="00000000" w:rsidDel="00000000" w:rsidP="00000000" w:rsidRDefault="00000000" w:rsidRPr="00000000" w14:paraId="00000110">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Barão de Anadia, 85, Centro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57020-630 // Fone: (82) 3315-6260</w:t>
            </w:r>
          </w:p>
        </w:tc>
      </w:tr>
      <w:tr>
        <w:trPr>
          <w:trHeight w:val="353" w:hRule="atLeast"/>
        </w:trPr>
        <w:tc>
          <w:tcPr/>
          <w:p w:rsidR="00000000" w:rsidDel="00000000" w:rsidP="00000000" w:rsidRDefault="00000000" w:rsidRPr="00000000" w14:paraId="0000011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p w:rsidR="00000000" w:rsidDel="00000000" w:rsidP="00000000" w:rsidRDefault="00000000" w:rsidRPr="00000000" w14:paraId="000001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SLUM</w:t>
            </w:r>
          </w:p>
        </w:tc>
        <w:tc>
          <w:tcPr/>
          <w:p w:rsidR="00000000" w:rsidDel="00000000" w:rsidP="00000000" w:rsidRDefault="00000000" w:rsidRPr="00000000" w14:paraId="00000113">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Praça Ciro Acioly, 96, Ponta Grossa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57014-710 // Fone: (82) 3315-2600 // Disque Limpeza 0800 082 2600</w:t>
            </w:r>
          </w:p>
        </w:tc>
      </w:tr>
      <w:tr>
        <w:trPr>
          <w:trHeight w:val="353" w:hRule="atLeast"/>
        </w:trPr>
        <w:tc>
          <w:tcPr/>
          <w:p w:rsidR="00000000" w:rsidDel="00000000" w:rsidP="00000000" w:rsidRDefault="00000000" w:rsidRPr="00000000" w14:paraId="000001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p w:rsidR="00000000" w:rsidDel="00000000" w:rsidP="00000000" w:rsidRDefault="00000000" w:rsidRPr="00000000" w14:paraId="0000011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SIMA</w:t>
            </w:r>
          </w:p>
        </w:tc>
        <w:tc>
          <w:tcPr/>
          <w:p w:rsidR="00000000" w:rsidDel="00000000" w:rsidP="00000000" w:rsidRDefault="00000000" w:rsidRPr="00000000" w14:paraId="00000116">
            <w:pPr>
              <w:jc w:val="both"/>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Rua Marquês de Abrantes, s/n, Bebedouro </w:t>
            </w:r>
            <w:r w:rsidDel="00000000" w:rsidR="00000000" w:rsidRPr="00000000">
              <w:rPr>
                <w:rFonts w:ascii="Calibri" w:cs="Calibri" w:eastAsia="Calibri" w:hAnsi="Calibri"/>
                <w:color w:val="000000"/>
                <w:sz w:val="22"/>
                <w:szCs w:val="22"/>
                <w:rtl w:val="0"/>
              </w:rPr>
              <w:br w:type="textWrapping"/>
            </w:r>
            <w:r w:rsidDel="00000000" w:rsidR="00000000" w:rsidRPr="00000000">
              <w:rPr>
                <w:rFonts w:ascii="Calibri" w:cs="Calibri" w:eastAsia="Calibri" w:hAnsi="Calibri"/>
                <w:color w:val="000000"/>
                <w:sz w:val="22"/>
                <w:szCs w:val="22"/>
                <w:highlight w:val="white"/>
                <w:rtl w:val="0"/>
              </w:rPr>
              <w:t xml:space="preserve">CEP 57018-330 // Fones: (82) 3315-3821 / 6410 / 3828 Call Center: 0800 031 9055</w:t>
            </w:r>
          </w:p>
        </w:tc>
      </w:tr>
      <w:tr>
        <w:trPr>
          <w:trHeight w:val="353" w:hRule="atLeast"/>
        </w:trPr>
        <w:tc>
          <w:tcPr/>
          <w:p w:rsidR="00000000" w:rsidDel="00000000" w:rsidP="00000000" w:rsidRDefault="00000000" w:rsidRPr="00000000" w14:paraId="000001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shd w:fill="ffffff" w:val="clear"/>
          </w:tcPr>
          <w:p w:rsidR="00000000" w:rsidDel="00000000" w:rsidP="00000000" w:rsidRDefault="00000000" w:rsidRPr="00000000" w14:paraId="000001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SMS</w:t>
            </w:r>
          </w:p>
        </w:tc>
        <w:tc>
          <w:tcPr>
            <w:vAlign w:val="center"/>
          </w:tcPr>
          <w:p w:rsidR="00000000" w:rsidDel="00000000" w:rsidP="00000000" w:rsidRDefault="00000000" w:rsidRPr="00000000" w14:paraId="00000119">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highlight w:val="white"/>
                <w:rtl w:val="0"/>
              </w:rPr>
              <w:t xml:space="preserve">RUA DIAS CABRAL, 569, CENTRO, CEP 57020-250</w:t>
            </w:r>
            <w:r w:rsidDel="00000000" w:rsidR="00000000" w:rsidRPr="00000000">
              <w:rPr>
                <w:rtl w:val="0"/>
              </w:rPr>
            </w:r>
          </w:p>
        </w:tc>
      </w:tr>
    </w:tbl>
    <w:p w:rsidR="00000000" w:rsidDel="00000000" w:rsidP="00000000" w:rsidRDefault="00000000" w:rsidRPr="00000000" w14:paraId="0000011A">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B">
      <w:pPr>
        <w:jc w:val="center"/>
        <w:rPr>
          <w:rFonts w:ascii="Calibri" w:cs="Calibri" w:eastAsia="Calibri" w:hAnsi="Calibri"/>
        </w:rPr>
      </w:pPr>
      <w:r w:rsidDel="00000000" w:rsidR="00000000" w:rsidRPr="00000000">
        <w:rPr>
          <w:rtl w:val="0"/>
        </w:rPr>
      </w:r>
    </w:p>
    <w:sectPr>
      <w:headerReference r:id="rId6" w:type="default"/>
      <w:footerReference r:id="rId7" w:type="default"/>
      <w:pgSz w:h="16838" w:w="11906"/>
      <w:pgMar w:bottom="1417" w:top="1417" w:left="1134" w:right="1416" w:header="708" w:footer="2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45699"/>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656965" cy="952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56965" cy="952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lowerLetter"/>
      <w:lvlText w:val="%3)"/>
      <w:lvlJc w:val="left"/>
      <w:pPr>
        <w:ind w:left="862"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3"/>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lowerLetter"/>
      <w:lvlText w:val="%3)"/>
      <w:lvlJc w:val="left"/>
      <w:pPr>
        <w:ind w:left="862"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8"/>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rFonts w:ascii="Calibri" w:cs="Calibri" w:eastAsia="Calibri" w:hAnsi="Calibri"/>
      </w:rPr>
    </w:lvl>
    <w:lvl w:ilvl="1">
      <w:start w:val="1"/>
      <w:numFmt w:val="decimal"/>
      <w:lvlText w:val="%1.%2"/>
      <w:lvlJc w:val="left"/>
      <w:pPr>
        <w:ind w:left="360" w:hanging="360"/>
      </w:pPr>
      <w:rPr>
        <w:rFonts w:ascii="Calibri" w:cs="Calibri" w:eastAsia="Calibri" w:hAnsi="Calibri"/>
      </w:rPr>
    </w:lvl>
    <w:lvl w:ilvl="2">
      <w:start w:val="1"/>
      <w:numFmt w:val="decimal"/>
      <w:lvlText w:val="%1.%2.%3"/>
      <w:lvlJc w:val="left"/>
      <w:pPr>
        <w:ind w:left="720" w:hanging="720"/>
      </w:pPr>
      <w:rPr>
        <w:rFonts w:ascii="Calibri" w:cs="Calibri" w:eastAsia="Calibri" w:hAnsi="Calibri"/>
      </w:rPr>
    </w:lvl>
    <w:lvl w:ilvl="3">
      <w:start w:val="1"/>
      <w:numFmt w:val="decimal"/>
      <w:lvlText w:val="%1.%2.%3.%4"/>
      <w:lvlJc w:val="left"/>
      <w:pPr>
        <w:ind w:left="720" w:hanging="720"/>
      </w:pPr>
      <w:rPr>
        <w:rFonts w:ascii="Calibri" w:cs="Calibri" w:eastAsia="Calibri" w:hAnsi="Calibri"/>
      </w:rPr>
    </w:lvl>
    <w:lvl w:ilvl="4">
      <w:start w:val="1"/>
      <w:numFmt w:val="decimal"/>
      <w:lvlText w:val="%1.%2.%3.%4.%5"/>
      <w:lvlJc w:val="left"/>
      <w:pPr>
        <w:ind w:left="1080" w:hanging="1080"/>
      </w:pPr>
      <w:rPr>
        <w:rFonts w:ascii="Calibri" w:cs="Calibri" w:eastAsia="Calibri" w:hAnsi="Calibri"/>
      </w:rPr>
    </w:lvl>
    <w:lvl w:ilvl="5">
      <w:start w:val="1"/>
      <w:numFmt w:val="decimal"/>
      <w:lvlText w:val="%1.%2.%3.%4.%5.%6"/>
      <w:lvlJc w:val="left"/>
      <w:pPr>
        <w:ind w:left="1080" w:hanging="1080"/>
      </w:pPr>
      <w:rPr>
        <w:rFonts w:ascii="Calibri" w:cs="Calibri" w:eastAsia="Calibri" w:hAnsi="Calibri"/>
      </w:rPr>
    </w:lvl>
    <w:lvl w:ilvl="6">
      <w:start w:val="1"/>
      <w:numFmt w:val="decimal"/>
      <w:lvlText w:val="%1.%2.%3.%4.%5.%6.%7"/>
      <w:lvlJc w:val="left"/>
      <w:pPr>
        <w:ind w:left="1440" w:hanging="1440"/>
      </w:pPr>
      <w:rPr>
        <w:rFonts w:ascii="Calibri" w:cs="Calibri" w:eastAsia="Calibri" w:hAnsi="Calibri"/>
      </w:rPr>
    </w:lvl>
    <w:lvl w:ilvl="7">
      <w:start w:val="1"/>
      <w:numFmt w:val="decimal"/>
      <w:lvlText w:val="%1.%2.%3.%4.%5.%6.%7.%8"/>
      <w:lvlJc w:val="left"/>
      <w:pPr>
        <w:ind w:left="1440" w:hanging="1440"/>
      </w:pPr>
      <w:rPr>
        <w:rFonts w:ascii="Calibri" w:cs="Calibri" w:eastAsia="Calibri" w:hAnsi="Calibri"/>
      </w:rPr>
    </w:lvl>
    <w:lvl w:ilvl="8">
      <w:start w:val="1"/>
      <w:numFmt w:val="decimal"/>
      <w:lvlText w:val="%1.%2.%3.%4.%5.%6.%7.%8.%9"/>
      <w:lvlJc w:val="left"/>
      <w:pPr>
        <w:ind w:left="1440" w:hanging="1440"/>
      </w:pPr>
      <w:rPr>
        <w:rFonts w:ascii="Calibri" w:cs="Calibri" w:eastAsia="Calibri" w:hAnsi="Calibri"/>
      </w:rPr>
    </w:lvl>
  </w:abstractNum>
  <w:abstractNum w:abstractNumId="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ind w:firstLine="567"/>
    </w:pPr>
    <w:rPr>
      <w:b w:val="1"/>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