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TERMO DE REFERÊNCIA</w:t>
      </w:r>
      <w:r w:rsidDel="00000000" w:rsidR="00000000" w:rsidRPr="00000000">
        <w:rPr>
          <w:rtl w:val="0"/>
        </w:rPr>
      </w:r>
    </w:p>
    <w:p w:rsidR="00000000" w:rsidDel="00000000" w:rsidP="00000000" w:rsidRDefault="00000000" w:rsidRPr="00000000" w14:paraId="00000002">
      <w:pPr>
        <w:pStyle w:val="Heading4"/>
        <w:keepLines w:val="0"/>
        <w:numPr>
          <w:ilvl w:val="0"/>
          <w:numId w:val="10"/>
        </w:numPr>
        <w:pBdr>
          <w:bottom w:color="000000" w:space="1" w:sz="4" w:val="single"/>
        </w:pBdr>
        <w:tabs>
          <w:tab w:val="left" w:pos="284"/>
        </w:tabs>
        <w:spacing w:before="0" w:lineRule="auto"/>
        <w:ind w:left="0" w:firstLine="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DO OBJETO</w:t>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Registro de Preços para futura e eventual </w:t>
      </w:r>
      <w:r w:rsidDel="00000000" w:rsidR="00000000" w:rsidRPr="00000000">
        <w:rPr>
          <w:rFonts w:ascii="Calibri" w:cs="Calibri" w:eastAsia="Calibri" w:hAnsi="Calibri"/>
          <w:b w:val="1"/>
          <w:sz w:val="22"/>
          <w:szCs w:val="22"/>
          <w:rtl w:val="0"/>
        </w:rPr>
        <w:t xml:space="preserve">Aquisição de mesas, cadeiras, e tendas em PVC </w:t>
      </w:r>
      <w:r w:rsidDel="00000000" w:rsidR="00000000" w:rsidRPr="00000000">
        <w:rPr>
          <w:rFonts w:ascii="Calibri" w:cs="Calibri" w:eastAsia="Calibri" w:hAnsi="Calibri"/>
          <w:sz w:val="22"/>
          <w:szCs w:val="22"/>
          <w:rtl w:val="0"/>
        </w:rPr>
        <w:t xml:space="preserve">para atendimento aos diversos Órgãos e Entidades da Administração Pública do Município de Maceió, nas especificações e quantidades constantes no Anexo I deste Termo de Referência.</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pStyle w:val="Heading4"/>
        <w:keepLines w:val="0"/>
        <w:numPr>
          <w:ilvl w:val="0"/>
          <w:numId w:val="10"/>
        </w:numPr>
        <w:pBdr>
          <w:bottom w:color="000000" w:space="1" w:sz="4" w:val="single"/>
        </w:pBdr>
        <w:tabs>
          <w:tab w:val="left" w:pos="284"/>
        </w:tabs>
        <w:spacing w:before="0" w:lineRule="auto"/>
        <w:ind w:left="0" w:firstLine="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JUSTIFICATIVA </w:t>
      </w:r>
    </w:p>
    <w:p w:rsidR="00000000" w:rsidDel="00000000" w:rsidP="00000000" w:rsidRDefault="00000000" w:rsidRPr="00000000" w14:paraId="00000006">
      <w:pPr>
        <w:numPr>
          <w:ilvl w:val="1"/>
          <w:numId w:val="1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6.592/2016.</w:t>
      </w:r>
    </w:p>
    <w:p w:rsidR="00000000" w:rsidDel="00000000" w:rsidP="00000000" w:rsidRDefault="00000000" w:rsidRPr="00000000" w14:paraId="00000007">
      <w:pPr>
        <w:numPr>
          <w:ilvl w:val="1"/>
          <w:numId w:val="1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âmbito da ARSER está a competência de planejamento, coordenação e controle de procedimentos de compras centralizadas de serviços e materiais de uso comum para atendimento às demandas de todos os órgãos da Administração Pública Municipal.</w:t>
      </w:r>
    </w:p>
    <w:p w:rsidR="00000000" w:rsidDel="00000000" w:rsidP="00000000" w:rsidRDefault="00000000" w:rsidRPr="00000000" w14:paraId="00000008">
      <w:pPr>
        <w:numPr>
          <w:ilvl w:val="1"/>
          <w:numId w:val="1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000000" w:rsidDel="00000000" w:rsidP="00000000" w:rsidRDefault="00000000" w:rsidRPr="00000000" w14:paraId="00000009">
      <w:pPr>
        <w:numPr>
          <w:ilvl w:val="1"/>
          <w:numId w:val="1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contratação centralizada proporciona uma melhoria nos procedimentos técnicos e administrativos, além da redução do número de processos licitatórios, auferindo a administração redução de custos operacionais e eficiência gerencial.</w:t>
      </w:r>
    </w:p>
    <w:p w:rsidR="00000000" w:rsidDel="00000000" w:rsidP="00000000" w:rsidRDefault="00000000" w:rsidRPr="00000000" w14:paraId="0000000A">
      <w:pPr>
        <w:numPr>
          <w:ilvl w:val="1"/>
          <w:numId w:val="1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000000" w:rsidDel="00000000" w:rsidP="00000000" w:rsidRDefault="00000000" w:rsidRPr="00000000" w14:paraId="0000000B">
      <w:pPr>
        <w:numPr>
          <w:ilvl w:val="1"/>
          <w:numId w:val="1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unificação e centralização do procedimento de aquisição de materiais e serviços proporcionam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000000" w:rsidDel="00000000" w:rsidP="00000000" w:rsidRDefault="00000000" w:rsidRPr="00000000" w14:paraId="0000000C">
      <w:pPr>
        <w:numPr>
          <w:ilvl w:val="1"/>
          <w:numId w:val="1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Administração Pública Municipal ao lançar uma licitação centralizada sinaliza fortemente ao mercado fornecedor de que existe planejamento em suas aquisições e que se busca as melhores negociações.</w:t>
      </w:r>
    </w:p>
    <w:p w:rsidR="00000000" w:rsidDel="00000000" w:rsidP="00000000" w:rsidRDefault="00000000" w:rsidRPr="00000000" w14:paraId="0000000D">
      <w:pPr>
        <w:numPr>
          <w:ilvl w:val="1"/>
          <w:numId w:val="1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legislação vigente que regula as aquisições no setor público alberga instrumentos que podem ser utilizados e possibilitam maior eficiência nas aquisições e melhoria na gestão, tais quais a adoção de Sistema de Registro de Preços – SRP.</w:t>
      </w:r>
    </w:p>
    <w:p w:rsidR="00000000" w:rsidDel="00000000" w:rsidP="00000000" w:rsidRDefault="00000000" w:rsidRPr="00000000" w14:paraId="0000000E">
      <w:pPr>
        <w:numPr>
          <w:ilvl w:val="1"/>
          <w:numId w:val="1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Dentre as vantagens do Sistema de Registro de Preços, definido no Decreto Municipal nº 7.496 de 11 de abril de 2013, destaca-se:</w:t>
      </w:r>
    </w:p>
    <w:p w:rsidR="00000000" w:rsidDel="00000000" w:rsidP="00000000" w:rsidRDefault="00000000" w:rsidRPr="00000000" w14:paraId="0000000F">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 vigência da Ata de Registro de Preços é de 12 (doze) meses;</w:t>
      </w:r>
    </w:p>
    <w:p w:rsidR="00000000" w:rsidDel="00000000" w:rsidP="00000000" w:rsidRDefault="00000000" w:rsidRPr="00000000" w14:paraId="00000010">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É dispensável a dotação orçamentária para iniciar a licitação;</w:t>
      </w:r>
    </w:p>
    <w:p w:rsidR="00000000" w:rsidDel="00000000" w:rsidP="00000000" w:rsidRDefault="00000000" w:rsidRPr="00000000" w14:paraId="00000011">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Possibilidade de atendimento aos variados tipos de demandas;</w:t>
      </w:r>
    </w:p>
    <w:p w:rsidR="00000000" w:rsidDel="00000000" w:rsidP="00000000" w:rsidRDefault="00000000" w:rsidRPr="00000000" w14:paraId="00000012">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de volume de estoque;</w:t>
      </w:r>
    </w:p>
    <w:p w:rsidR="00000000" w:rsidDel="00000000" w:rsidP="00000000" w:rsidRDefault="00000000" w:rsidRPr="00000000" w14:paraId="00000013">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 número de licitações;</w:t>
      </w:r>
    </w:p>
    <w:p w:rsidR="00000000" w:rsidDel="00000000" w:rsidP="00000000" w:rsidRDefault="00000000" w:rsidRPr="00000000" w14:paraId="00000014">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dos custos de processamento de licitação;</w:t>
      </w:r>
    </w:p>
    <w:p w:rsidR="00000000" w:rsidDel="00000000" w:rsidP="00000000" w:rsidRDefault="00000000" w:rsidRPr="00000000" w14:paraId="00000015">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dos custos operacionais e de estoque;</w:t>
      </w:r>
    </w:p>
    <w:p w:rsidR="00000000" w:rsidDel="00000000" w:rsidP="00000000" w:rsidRDefault="00000000" w:rsidRPr="00000000" w14:paraId="00000016">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 número de licitações durante o exercício financeiro;</w:t>
      </w:r>
    </w:p>
    <w:p w:rsidR="00000000" w:rsidDel="00000000" w:rsidP="00000000" w:rsidRDefault="00000000" w:rsidRPr="00000000" w14:paraId="00000017">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Aumento da eficiência administrativa;</w:t>
      </w:r>
    </w:p>
    <w:p w:rsidR="00000000" w:rsidDel="00000000" w:rsidP="00000000" w:rsidRDefault="00000000" w:rsidRPr="00000000" w14:paraId="00000018">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Agilidade e otimização nas contratações públicas</w:t>
      </w:r>
    </w:p>
    <w:p w:rsidR="00000000" w:rsidDel="00000000" w:rsidP="00000000" w:rsidRDefault="00000000" w:rsidRPr="00000000" w14:paraId="00000019">
      <w:pPr>
        <w:numPr>
          <w:ilvl w:val="0"/>
          <w:numId w:val="11"/>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Possibilidade de estimar quantitativos quando não é possível definir previamente a quantidade exata do objeto a ser adquirido</w:t>
      </w:r>
    </w:p>
    <w:p w:rsidR="00000000" w:rsidDel="00000000" w:rsidP="00000000" w:rsidRDefault="00000000" w:rsidRPr="00000000" w14:paraId="0000001A">
      <w:pPr>
        <w:numPr>
          <w:ilvl w:val="1"/>
          <w:numId w:val="12"/>
        </w:numPr>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Nesse sentido, objetivando a utilização destes materiais por parte dos diversos órgãos do Município de Maceió, em eventos culturais, desportivos e recreativos da Secretaria Municipal de Esporte Lazer e Juventude, campanhas de educação e prevenção em saúde da Secretaria Municipal de Saúde, em palestras, seminários, fóruns, audiências públicas e eventos sociais dos demais órgãos participantes, no desenvolvimento de suas ações junto ao público externo e interno. </w:t>
      </w:r>
    </w:p>
    <w:p w:rsidR="00000000" w:rsidDel="00000000" w:rsidP="00000000" w:rsidRDefault="00000000" w:rsidRPr="00000000" w14:paraId="0000001B">
      <w:pPr>
        <w:numPr>
          <w:ilvl w:val="1"/>
          <w:numId w:val="12"/>
        </w:numPr>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Será mapeada a necessidade relativa à demanda para a formalização do Registro de preços do objeto para futura e eventual aquisição por parte dos Órgãos e Entidades da Administração Pública do Município de Maceió.</w:t>
      </w:r>
    </w:p>
    <w:p w:rsidR="00000000" w:rsidDel="00000000" w:rsidP="00000000" w:rsidRDefault="00000000" w:rsidRPr="00000000" w14:paraId="0000001C">
      <w:pPr>
        <w:numPr>
          <w:ilvl w:val="0"/>
          <w:numId w:val="2"/>
        </w:numPr>
        <w:pBdr>
          <w:bottom w:color="000000" w:space="1" w:sz="4" w:val="single"/>
        </w:pBdr>
        <w:tabs>
          <w:tab w:val="left" w:pos="284"/>
        </w:tabs>
        <w:ind w:lef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DAS ESPECIFICAÇÕES</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especificações, quantidades estimadas, bem como todas as informações complementares para a perfeita e regular execução do objeto deste Termo de Referência estão descritas no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ANEXO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MODALIDADE DA LICITAÇÃO E CRITÉRIO DE JULGAMENTO</w:t>
      </w:r>
    </w:p>
    <w:p w:rsidR="00000000" w:rsidDel="00000000" w:rsidP="00000000" w:rsidRDefault="00000000" w:rsidRPr="00000000" w14:paraId="00000020">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w:t>
        <w:tab/>
        <w:t xml:space="preserve">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rsidR="00000000" w:rsidDel="00000000" w:rsidP="00000000" w:rsidRDefault="00000000" w:rsidRPr="00000000" w14:paraId="00000021">
      <w:pPr>
        <w:spacing w:after="240" w:before="240" w:line="276"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w:t>
        <w:tab/>
        <w:t xml:space="preserve">O pregão eletrônico ocorrerá sob o </w:t>
      </w:r>
      <w:r w:rsidDel="00000000" w:rsidR="00000000" w:rsidRPr="00000000">
        <w:rPr>
          <w:rFonts w:ascii="Calibri" w:cs="Calibri" w:eastAsia="Calibri" w:hAnsi="Calibri"/>
          <w:sz w:val="22"/>
          <w:szCs w:val="22"/>
          <w:u w:val="single"/>
          <w:rtl w:val="0"/>
        </w:rPr>
        <w:t xml:space="preserve">modo de disputa Aberto e Fechado</w:t>
      </w:r>
      <w:r w:rsidDel="00000000" w:rsidR="00000000" w:rsidRPr="00000000">
        <w:rPr>
          <w:rFonts w:ascii="Calibri" w:cs="Calibri" w:eastAsia="Calibri" w:hAnsi="Calibri"/>
          <w:sz w:val="22"/>
          <w:szCs w:val="22"/>
          <w:rtl w:val="0"/>
        </w:rPr>
        <w:t xml:space="preserve">, onde os licitantes apresentarão lances públicos e sucessivos, com lance final e fechado.</w:t>
      </w:r>
    </w:p>
    <w:p w:rsidR="00000000" w:rsidDel="00000000" w:rsidP="00000000" w:rsidRDefault="00000000" w:rsidRPr="00000000" w14:paraId="00000022">
      <w:pPr>
        <w:spacing w:after="240" w:before="24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4.2.1</w:t>
        <w:tab/>
        <w:t xml:space="preserve">Tendo em vista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000000" w:rsidDel="00000000" w:rsidP="00000000" w:rsidRDefault="00000000" w:rsidRPr="00000000" w14:paraId="00000023">
      <w:pPr>
        <w:spacing w:after="240" w:before="24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w:t>
        <w:tab/>
        <w:t xml:space="preserve">Pelo interesse da administração pública, os valores de referência não serão divulgados.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DOTAÇÃO ORÇAMENTÁRIA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despesas decorrentes da contratação do objeto deste Termo de Referência correrão à conta dos recursos específicos consignados no Orçamento dos Órgãos e Entidades do Município de Maceió participantes da Ata de Registro de Preços.</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24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highlight w:val="green"/>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CONDIÇÕES DE FORNECIMENTO </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Sempre que julgar necessário o Órgão Contratante solicitará, durante a vigência da ARP, o fornecimento dos produtos registrados na quantidade necessária, mediante a elaboração do instrumento contratual.</w:t>
      </w:r>
    </w:p>
    <w:p w:rsidR="00000000" w:rsidDel="00000000" w:rsidP="00000000" w:rsidRDefault="00000000" w:rsidRPr="00000000" w14:paraId="0000002A">
      <w:pPr>
        <w:numPr>
          <w:ilvl w:val="1"/>
          <w:numId w:val="3"/>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Contratante não estará obrigada a adquirir os serviços registrados, contudo, ao fazê-lo,  cada participante solicitará individualmente um percentual mínimo de 1% (um por cento) do quantitativo que se encontra registrado para cada órgão.</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entregar o objeto, em até 15 (dez) dias contados do recebimento da Nota de Empenho/Ordem de Fornecimento; (via e-mail, correios ou fac-símile) ou retirado na sede da Contratante.</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ser entregues ao servidor responsável pelo recebimento em cada Órgão ou Entidade do Município de Maceió, acompanhados da documentação fiscal, juntamente com cópia da Nota de Empenho/Ordem de Fornecimento, no horário das 08h00 às 14h00 de segunda-feira a sexta-feira. </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atender as descrições técnicas, e possuir prazo de validade mínima conforme tipo de embalagem descrita no Anexo I a partir da data de entrega.</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Só serão recebidos materiais cujas marcas confiram com aquelas constantes das Propostas de Preços. </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o prazo de garantia dos materiais o fornecedor fica obrigado a substituir as unidades que apresentarem defeitos de fábrica ou de qualidade do produto, no prazo máximo de 08 (oito) dias, a contar do recebimento da notificação por parte da contratante.</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os materiais deverão constar em suas embalagens ou rótulos descrições e especificações em Português.</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RECEBIMENTO DO OBJETO</w:t>
      </w:r>
    </w:p>
    <w:p w:rsidR="00000000" w:rsidDel="00000000" w:rsidP="00000000" w:rsidRDefault="00000000" w:rsidRPr="00000000" w14:paraId="00000034">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objeto(s) serão recebidos pelo servidor responsável no ato da entrega;</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Provisoriamente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ato da entrega, para efeito de posterior verificação da conformidade dos mesmos com as especificações requeridas neste documento; </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Definitivamente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após a verificação da qualidade e quantidade do material e consequente aceitação, no prazo de até 05 (cinco) dia úteis. Só então será atestada a nota fiscal. </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recusados os materiais que apresentarem defeitos ou cujas especificações não atendam às descrições do objeto contratado.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ato de recebimento dos produtos, não importa em sua aceitação. A critério da Contratante, os produtos fornecidos serão submetidos à verificação. Cabe a Contratada a substituição dos produtos que vierem a ser recusados, no prazo máximo de 05 (cinco) dias úteis, contados da solicitação.</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atender aos dispositivos da Lei nº 8.078/90 (Código de Defesa do Consumidor) e às demais legislação pertinentes.</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ser acondicionados conforme praxe do fabricante devendo garantir proteção durante transporte e estocagem, constando a identificação do produto e demais informações exigidas na legislação em vigor.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GARANTIA/VALIDADE </w:t>
      </w:r>
    </w:p>
    <w:p w:rsidR="00000000" w:rsidDel="00000000" w:rsidP="00000000" w:rsidRDefault="00000000" w:rsidRPr="00000000" w14:paraId="0000003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12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de garantia dos itens contra defeitos de fabricação e funcionamento, será contada da data do recebimento definitivo, de acordo com o prazo estabelecido em cada item do Anexo I, prevalecendo a garantia oferecida pelo fabricante, se por prazo superior.</w:t>
      </w:r>
    </w:p>
    <w:p w:rsidR="00000000" w:rsidDel="00000000" w:rsidP="00000000" w:rsidRDefault="00000000" w:rsidRPr="00000000" w14:paraId="0000003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12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o período de garantia o produto que apresentar defeito deverá ser trocado por outro de igual modelo, ou superior, mantendo, no mínimo, as mesmas características do originalmente fornecido e todas as despesas inerentes à reposição e transporte, correrão por conta da Contratada, não cabendo qualquer ônus a Contratante, conforme o caso.</w:t>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HABILITAÇÃO </w:t>
      </w:r>
    </w:p>
    <w:p w:rsidR="00000000" w:rsidDel="00000000" w:rsidP="00000000" w:rsidRDefault="00000000" w:rsidRPr="00000000" w14:paraId="00000041">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licitantes deverão apresentar no mínimo um atestado, emitido por pessoa jurídica de direito público ou privado devidamente assinado em papel timbrado e carimbado, que comprove que a licitante forneceu, de maneira satisfatória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mesas, cadeiras, e tendas em PVC.</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Calibri" w:cs="Calibri" w:eastAsia="Calibri" w:hAnsi="Calibri"/>
          <w:b w:val="1"/>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6"/>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OBRIGAÇÕES</w:t>
      </w:r>
    </w:p>
    <w:p w:rsidR="00000000" w:rsidDel="00000000" w:rsidP="00000000" w:rsidRDefault="00000000" w:rsidRPr="00000000" w14:paraId="0000004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Contratada</w:t>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Assinar a ARP/</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retirar Nota de Empenho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até 05 (cinco) dias contados da convocação para sua formalização pela Contratante;</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a todos os pedidos efetuados durante a vigência da Ata no limite do quantitativo registrado;</w:t>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deste Termo de Referência nos endereços constante no anexo II deste documento, dentro do prazo estabelecido no item 6, mediante apresentação da Nota Fiscal devidamente preenchida, constando detalhadamente as informações necessárias, conforme proposta da empresa vencedora;</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a entrega do objeto em perfeitas condições de uso, em estrita observância às especificações deste Termo de Referência;</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Administração, no prazo de 24 (vinte e quatro) horas que antecede a data da entrega, os motivos que impossibilitem o cumprimento do prazo previsto, com a devida comprovação;</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Assumir a responsabilidade pelos encargos trabalhistas, fiscais, previdenciários e comerciais resultantes da contratação;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nas condições pactuadas neste documento;</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Providenciar a correção das deficiências, falhas ou irregularidades constatadas pela Contratante na entrega do objeto;</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Responder por danos causados diretamente à Contratante ou a terceiros, decorrentes de sua culpa ou dolo, quando da execução do contrato;</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Acatar as orientações da Contratante, sujeitando-se a mais ampla e irrestrita fiscalização, prestando esclarecimentos solicitados e atendendo às reclamações formuladas;</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todas as condições de habilitação aferidas no processo de contratação durante a vigência da contratação;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Contratante:</w:t>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a adjudicatária, dentro do prazo de eficácia de sua proposta, para assinatura da Ata;</w:t>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Publicar o extrato da Ata na forma da Lei;</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Emitir Nota de Empenho e/ou Ordem de Fornecimento;</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Exigir o cumprimento de todas as obrigações assumidas pela empresa vencedora, de acordo como os termos deste documento;</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Reservar local apropriado para o recebimento do objeto deste documento;</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 pessoal disponível para o recebimento do objeto no horário previsto neste documento;</w: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Receber o objeto de acordo com as especificações descritas neste documento;</w:t>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o livre acesso dos empregados da empresa nas dependências da Contratante para entrega do objeto deste Termo de Referência, desde que uniformizados e identificados com crachá;</w:t>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o pagamento nas condições e preço pactuado;</w:t>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por escrito, sobre imperfeições, falhas ou irregularidades verificadas no objeto fornecido, para que seja substituído, reparado ou corrigido, sem prejuízo das penalidades cabíveis;</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e fiscalizar a execução da contratação, por intermédio de representante especialmente designado;</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Aplicar à Contratada as penalidades regulamentares contratuais.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6"/>
        </w:numPr>
        <w:pBdr>
          <w:top w:space="0" w:sz="0" w:val="nil"/>
          <w:left w:space="0" w:sz="0" w:val="nil"/>
          <w:bottom w:color="000000" w:space="0"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PAGAMENTO</w:t>
      </w:r>
    </w:p>
    <w:p w:rsidR="00000000" w:rsidDel="00000000" w:rsidP="00000000" w:rsidRDefault="00000000" w:rsidRPr="00000000" w14:paraId="0000006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será efetuado pela Contratante, de acordo com o quantitativo efetivamente recebido,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000000" w:rsidDel="00000000" w:rsidP="00000000" w:rsidRDefault="00000000" w:rsidRPr="00000000" w14:paraId="0000006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erro na Fatura/Nota Fiscal/Recibo, ou outra circunstância que desaprove a liquidação, o pagamento será sustado, até que sejam tomadas as medidas saneadoras necessárias.</w:t>
      </w:r>
    </w:p>
    <w:p w:rsidR="00000000" w:rsidDel="00000000" w:rsidP="00000000" w:rsidRDefault="00000000" w:rsidRPr="00000000" w14:paraId="0000006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pagamentos podem ser realizados com recursos próprios e/ou com recursos de convênios.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6"/>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ATA DE REGISTRO DE PREÇOS</w:t>
      </w:r>
    </w:p>
    <w:p w:rsidR="00000000" w:rsidDel="00000000" w:rsidP="00000000" w:rsidRDefault="00000000" w:rsidRPr="00000000" w14:paraId="0000006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de validade da ARP será de 12 (doze) meses, contados a partir da sua assinatura, tendo sua eficácia a partir da data de publicação do seu extrato no Diário Oficial do Município. </w:t>
      </w:r>
    </w:p>
    <w:p w:rsidR="00000000" w:rsidDel="00000000" w:rsidP="00000000" w:rsidRDefault="00000000" w:rsidRPr="00000000" w14:paraId="0000006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remanejamento somente ocorrerá entre os órgãos e entidades da Administração Pública Municipal de Maceió.</w:t>
      </w:r>
    </w:p>
    <w:p w:rsidR="00000000" w:rsidDel="00000000" w:rsidP="00000000" w:rsidRDefault="00000000" w:rsidRPr="00000000" w14:paraId="0000006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000000" w:rsidDel="00000000" w:rsidP="00000000" w:rsidRDefault="00000000" w:rsidRPr="00000000" w14:paraId="0000006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remanejamento de que trata o item 12.3 somente poderá ser feito de órgão participante para órgão participante e de órgão participante para órgão não participante.</w:t>
      </w:r>
    </w:p>
    <w:p w:rsidR="00000000" w:rsidDel="00000000" w:rsidP="00000000" w:rsidRDefault="00000000" w:rsidRPr="00000000" w14:paraId="0000006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remanejamento de órgão participante para órgão não participante, devem ser observados os limites previstos nos § 3º do art. 22 do Decreto nº 7.492, de 11 de Abril de 2013. </w:t>
      </w:r>
    </w:p>
    <w:p w:rsidR="00000000" w:rsidDel="00000000" w:rsidP="00000000" w:rsidRDefault="00000000" w:rsidRPr="00000000" w14:paraId="0000006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gestão da ARP caberá à Agência Municipal de Regulação de Serviços Delegados – ARSER, situada na Rua Eng. Roberto Gonçalves Menezes (Antiga Rua da Praia) 71 - Centro, Maceió - AL, 57020-680,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fone 3315-3713/3714/3715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00000" w:rsidDel="00000000" w:rsidP="00000000" w:rsidRDefault="00000000" w:rsidRPr="00000000" w14:paraId="0000006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Caberá ao Gerenciador da Ata realizar, periodicamente, pesquisa de mercado para comprovação da vantajosidade dos preços registrados.</w:t>
      </w:r>
    </w:p>
    <w:p w:rsidR="00000000" w:rsidDel="00000000" w:rsidP="00000000" w:rsidRDefault="00000000" w:rsidRPr="00000000" w14:paraId="0000006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efeito do disposto no subitem 12.3, caberá ao Órgão Gerenciador autorizar o remanejamento solicitado, com a redução do quantitativo inicialmente informado pelo Órgão Participante, desde que haja prévia anuência do Órgão que vier a sofre redução dos quantitativos informados.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6"/>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CONTRATAÇÃO</w:t>
      </w:r>
    </w:p>
    <w:p w:rsidR="00000000" w:rsidDel="00000000" w:rsidP="00000000" w:rsidRDefault="00000000" w:rsidRPr="00000000" w14:paraId="00000072">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hanging="284"/>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termo de contrato será substituído por Nota de Empenho e/ou por Ordem de Fornecimento.</w:t>
      </w:r>
    </w:p>
    <w:p w:rsidR="00000000" w:rsidDel="00000000" w:rsidP="00000000" w:rsidRDefault="00000000" w:rsidRPr="00000000" w14:paraId="0000007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para a licitante vencedora aceitar ou retirar a Nota de Empenho e /ou por Ordem de Fornecimento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000000" w:rsidDel="00000000" w:rsidP="00000000" w:rsidRDefault="00000000" w:rsidRPr="00000000" w14:paraId="0000007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subsequentes e a qualificação das licitantes, na ordem de classificação, e assim sucessivamente, até a apuração de uma que atenda ao edital, sendo esta declarada vencedora.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6"/>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FISCALIZAÇÃO </w:t>
      </w:r>
    </w:p>
    <w:p w:rsidR="00000000" w:rsidDel="00000000" w:rsidP="00000000" w:rsidRDefault="00000000" w:rsidRPr="00000000" w14:paraId="0000007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contratação será acompanhada e fiscalizada por servidor a ser designado pelo Gestor da Pasta.</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da contratação terá, entre outras, as seguintes atribuições: </w:t>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Expedir ordens de fornecimento; </w:t>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Proceder ao acompanhamento da entrega dos materiais;</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Fiscalizar o recebimento quanto à qualidade desejada; </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o descumprimento da contratação; e indicar os procedimentos necessários ao seu correto cumprimento; </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à Administração a aplicação de penalidades por descumprimento das obrigações assumidas; </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atestados de capacidade técnica quando solicitado, desde que atendidas às obrigações assumidas; </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Atestar as notas fiscais relativas ao recebimento dos materiais para efeito de pagamentos; </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Recusar os materiais que for entregue fora das especificações contidas neste documento ou que forem entregues em quantidades divergentes daquelas constantes na ordem de serviços;</w:t>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Solicitar à Contratada e a seu preposto todas as providências necessárias ao bom e fiel cumprimento das obrigações.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6"/>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REAJUSTE, DOS ACRÉSCIMOS OU SUPRESSÕES</w:t>
      </w:r>
    </w:p>
    <w:p w:rsidR="00000000" w:rsidDel="00000000" w:rsidP="00000000" w:rsidRDefault="00000000" w:rsidRPr="00000000" w14:paraId="0000008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 proibido o reajuste do valor durante a vigência da ata.</w:t>
      </w:r>
    </w:p>
    <w:p w:rsidR="00000000" w:rsidDel="00000000" w:rsidP="00000000" w:rsidRDefault="00000000" w:rsidRPr="00000000" w14:paraId="0000008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Após o período mencionado no “caput”, será admitido o reajuste, utilizando-se como base o IPCA (Índice de Preços ao Consumidor Amplo).</w:t>
      </w:r>
    </w:p>
    <w:p w:rsidR="00000000" w:rsidDel="00000000" w:rsidP="00000000" w:rsidRDefault="00000000" w:rsidRPr="00000000" w14:paraId="0000008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Pode ocorrer a revisão da ata, tencionando o reequilíbrio econômico financeiro, desde que haja incidência de fato imprevisível e devidamente justificado, conforme art. 37, XXI, DA CF/88, arts. 57, §§ 1º e 2º, 65, II, “d” e § 6º, todos da Lei n.8666/93 e arts. 17/19 do Decreto Municipal nº 7.496/2013.</w:t>
      </w:r>
    </w:p>
    <w:p w:rsidR="00000000" w:rsidDel="00000000" w:rsidP="00000000" w:rsidRDefault="00000000" w:rsidRPr="00000000" w14:paraId="0000008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revisão deverá incidir a partir da data em que for protocolado, com fundamento no item anterior, o pedido da contratada.</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SANÇÕES</w:t>
      </w:r>
    </w:p>
    <w:p w:rsidR="00000000" w:rsidDel="00000000" w:rsidP="00000000" w:rsidRDefault="00000000" w:rsidRPr="00000000" w14:paraId="0000008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caso de inexecução parcial ou total das condições pactuadas, erro ou demora na execução da contratação; garantida a prévia defesa, ficará a Contratada sujeita às sanções indicadas abaixo, sem prejuízo de outras previstas na legislação vigente:</w:t>
      </w:r>
    </w:p>
    <w:p w:rsidR="00000000" w:rsidDel="00000000" w:rsidP="00000000" w:rsidRDefault="00000000" w:rsidRPr="00000000" w14:paraId="0000008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Advertência formal: falhas ou irregularidades que não acarretem prejuízos à Administração;</w:t>
      </w:r>
    </w:p>
    <w:p w:rsidR="00000000" w:rsidDel="00000000" w:rsidP="00000000" w:rsidRDefault="00000000" w:rsidRPr="00000000" w14:paraId="0000008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atraso na entrega do produto em relação ao prazo estipulado: 1% (um por cento) do valor do produto não entregue, por dia decorrido, até o limite de 10% (dez por cento);</w:t>
      </w:r>
    </w:p>
    <w:p w:rsidR="00000000" w:rsidDel="00000000" w:rsidP="00000000" w:rsidRDefault="00000000" w:rsidRPr="00000000" w14:paraId="0000008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recusa em efetuar o fornecimento e/ou pela não entrega do produto, caracterizada em dez dias após o vencimento do prazo de entrega estipulado: 10% (dez por cento) do valor do produto;</w:t>
      </w:r>
    </w:p>
    <w:p w:rsidR="00000000" w:rsidDel="00000000" w:rsidP="00000000" w:rsidRDefault="00000000" w:rsidRPr="00000000" w14:paraId="0000008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demora em substituir o produto rejeitado, a contar do primeiro dia após o vencimento do prazo estipulado para a substituição: 2% (dois por cento) do valor do produto recusado, por dia decorrido, até o limite de 10% (dez por cento);</w:t>
      </w:r>
    </w:p>
    <w:p w:rsidR="00000000" w:rsidDel="00000000" w:rsidP="00000000" w:rsidRDefault="00000000" w:rsidRPr="00000000" w14:paraId="0000008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não cumprimento de qualquer condição fixada neste Termo de Referência e não abrangida nas alíneas anteriores: 1% (um por cento) do valor contratado, para cada evento;</w:t>
      </w:r>
    </w:p>
    <w:p w:rsidR="00000000" w:rsidDel="00000000" w:rsidP="00000000" w:rsidRDefault="00000000" w:rsidRPr="00000000" w14:paraId="0000008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Suspensão temporária, pelo período de até 02 (dois) anos, de participação em licitação e contratação com o Município de Maceió;</w:t>
      </w:r>
    </w:p>
    <w:p w:rsidR="00000000" w:rsidDel="00000000" w:rsidP="00000000" w:rsidRDefault="00000000" w:rsidRPr="00000000" w14:paraId="0000009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inidoneidade, que o impede de participar de licitações, bem como de contratar com a Administração Pública pelo prazo de até cinco anos.  </w:t>
      </w:r>
    </w:p>
    <w:p w:rsidR="00000000" w:rsidDel="00000000" w:rsidP="00000000" w:rsidRDefault="00000000" w:rsidRPr="00000000" w14:paraId="0000009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ocorrência de falhas ou irregularidades diferentes daquelas indicadas no item anterior, a Administração poderá aplicar à futura Contratada quaisquer das sanções listadas no item 16.1, consideradas a natureza e a gravidade da infração cometida e sem prejuízo da responsabilidade civil e criminal que seus atos ensejarem.</w:t>
      </w:r>
    </w:p>
    <w:p w:rsidR="00000000" w:rsidDel="00000000" w:rsidP="00000000" w:rsidRDefault="00000000" w:rsidRPr="00000000" w14:paraId="0000009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critério da Contratante e nos termos do art. 87, § 2º, da Lei nº 8.666/93, as sanções previstas nas alíneas “f” e “g” poderão ser aplicadas cumulativamente com quaisquer das multas previstas nas alíneas “b” a “e”.</w:t>
      </w:r>
    </w:p>
    <w:p w:rsidR="00000000" w:rsidDel="00000000" w:rsidP="00000000" w:rsidRDefault="00000000" w:rsidRPr="00000000" w14:paraId="0000009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multas previstas, caso sejam aplicadas, serão descontadas por ocasião de pagamentos futuros ou serão pagas por meio de Documento de Arrecadação Municipal (DAM) pela futura Contratada no prazo que o despacho de sua aplicação determinar.</w:t>
      </w:r>
    </w:p>
    <w:p w:rsidR="00000000" w:rsidDel="00000000" w:rsidP="00000000" w:rsidRDefault="00000000" w:rsidRPr="00000000" w14:paraId="0000009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fixadas serão aplicadas nos autos do processo de gestão da contratação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qual será assegurado à futura contratada o contraditório e a ampla defesa.</w:t>
      </w:r>
    </w:p>
    <w:p w:rsidR="00000000" w:rsidDel="00000000" w:rsidP="00000000" w:rsidRDefault="00000000" w:rsidRPr="00000000" w14:paraId="0000009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atraso, para efeito de cálculo de multa, será contado em dias corridos, a partir do dia seguinte ao do vencimento do prazo de entrega dos produtos, se dia de expediente normal no órgão ou entidade interessada, ou do primeiro dia útil seguinte.</w:t>
      </w:r>
    </w:p>
    <w:p w:rsidR="00000000" w:rsidDel="00000000" w:rsidP="00000000" w:rsidRDefault="00000000" w:rsidRPr="00000000" w14:paraId="0000009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30 (trinta) dias de atraso injustificado na entrega dos produtos, a Nota de Empenho deverá ser cancelada ou rescindida, exceto se houver justificado interesse público em manter a avença, hipótese em que será aplicada multa.</w:t>
      </w:r>
    </w:p>
    <w:p w:rsidR="00000000" w:rsidDel="00000000" w:rsidP="00000000" w:rsidRDefault="00000000" w:rsidRPr="00000000" w14:paraId="0000009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suspensão e o impedimento são sanções administrativas que temporariamente obstam a participação em licitação e a contratação, sendo aplicadas nos seguintes prazos e hipóteses:</w:t>
      </w:r>
    </w:p>
    <w:p w:rsidR="00000000" w:rsidDel="00000000" w:rsidP="00000000" w:rsidRDefault="00000000" w:rsidRPr="00000000" w14:paraId="0000009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30 (trinta) dias, quando, vencido o prazo da Advertência, a Contratada permanecer inadimplente;</w:t>
      </w:r>
    </w:p>
    <w:p w:rsidR="00000000" w:rsidDel="00000000" w:rsidP="00000000" w:rsidRDefault="00000000" w:rsidRPr="00000000" w14:paraId="0000009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01 (um) ano, quando a Contratada falhar ou fraudar na execução da contratação, comportar-se de modo inidôneo, fizer declaração falsa ou cometer fraude fiscal; e</w:t>
      </w:r>
    </w:p>
    <w:p w:rsidR="00000000" w:rsidDel="00000000" w:rsidP="00000000" w:rsidRDefault="00000000" w:rsidRPr="00000000" w14:paraId="0000009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02 (dois) anos, quando a Contratada:</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c.1) Praticar atos ilegais ou imorais visando frustrar os objetivos da contratação; ou</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c.2) For multada, e não efetuar o pagamento.</w:t>
      </w:r>
    </w:p>
    <w:p w:rsidR="00000000" w:rsidDel="00000000" w:rsidP="00000000" w:rsidRDefault="00000000" w:rsidRPr="00000000" w14:paraId="0000009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previsto no item 16.8, alínea “c”, poderá ser aumentado em até 5 (cinco) anos.</w:t>
      </w:r>
    </w:p>
    <w:p w:rsidR="00000000" w:rsidDel="00000000" w:rsidP="00000000" w:rsidRDefault="00000000" w:rsidRPr="00000000" w14:paraId="0000009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000000" w:rsidDel="00000000" w:rsidP="00000000" w:rsidRDefault="00000000" w:rsidRPr="00000000" w14:paraId="0000009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será aplicada à vista dos motivos informados na instrução processual, podendo a reabilitação ser requerida após 2 (dois) anos de sua aplicação.</w:t>
      </w:r>
    </w:p>
    <w:p w:rsidR="00000000" w:rsidDel="00000000" w:rsidP="00000000" w:rsidRDefault="00000000" w:rsidRPr="00000000" w14:paraId="000000A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000000" w:rsidDel="00000000" w:rsidP="00000000" w:rsidRDefault="00000000" w:rsidRPr="00000000" w14:paraId="000000A1">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administrativas serão registradas no SICAF. </w:t>
      </w:r>
    </w:p>
    <w:p w:rsidR="00000000" w:rsidDel="00000000" w:rsidP="00000000" w:rsidRDefault="00000000" w:rsidRPr="00000000" w14:paraId="000000A2">
      <w:pPr>
        <w:numPr>
          <w:ilvl w:val="0"/>
          <w:numId w:val="6"/>
        </w:numPr>
        <w:pBdr>
          <w:bottom w:color="000000" w:space="1" w:sz="4" w:val="single"/>
        </w:pBdr>
        <w:tabs>
          <w:tab w:val="left" w:pos="284"/>
        </w:tabs>
        <w:ind w:left="3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DISPOSIÇÕES GERAIS/INFORMAÇÕES COMPLEMENTARES</w:t>
      </w:r>
    </w:p>
    <w:p w:rsidR="00000000" w:rsidDel="00000000" w:rsidP="00000000" w:rsidRDefault="00000000" w:rsidRPr="00000000" w14:paraId="000000A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Setor Técnico competente auxiliará o pregoeiro nos casos de pedidos de esclarecimentos, impugnações e análise de propostas.</w:t>
      </w:r>
    </w:p>
    <w:p w:rsidR="00000000" w:rsidDel="00000000" w:rsidP="00000000" w:rsidRDefault="00000000" w:rsidRPr="00000000" w14:paraId="000000A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Eventuais pedidos de informações/esclarecimentos deverão ser encaminhados a Agência Municipal de Regulação de Serviços Delegados - ARSER, através do email: gerencia.planejamento@arser.maceio.al.gov.br, telefone para contato (82) </w:t>
      </w:r>
      <w:r w:rsidDel="00000000" w:rsidR="00000000" w:rsidRPr="00000000">
        <w:rPr>
          <w:rFonts w:ascii="Calibri" w:cs="Calibri" w:eastAsia="Calibri" w:hAnsi="Calibri"/>
          <w:sz w:val="22"/>
          <w:szCs w:val="22"/>
          <w:rtl w:val="0"/>
        </w:rPr>
        <w:t xml:space="preserve">3312-5100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5">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tabs>
          <w:tab w:val="left" w:pos="284"/>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Maceió, 16 de abril de 2020</w:t>
      </w:r>
    </w:p>
    <w:p w:rsidR="00000000" w:rsidDel="00000000" w:rsidP="00000000" w:rsidRDefault="00000000" w:rsidRPr="00000000" w14:paraId="000000A7">
      <w:pPr>
        <w:tabs>
          <w:tab w:val="left" w:pos="551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9">
      <w:pPr>
        <w:tabs>
          <w:tab w:val="left" w:pos="284"/>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Diego Passos Lima</w:t>
      </w:r>
    </w:p>
    <w:p w:rsidR="00000000" w:rsidDel="00000000" w:rsidP="00000000" w:rsidRDefault="00000000" w:rsidRPr="00000000" w14:paraId="000000AA">
      <w:pPr>
        <w:tabs>
          <w:tab w:val="left" w:pos="284"/>
        </w:tabs>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Gerente de Planejamento e Contratações/ARSER</w:t>
      </w:r>
      <w:r w:rsidDel="00000000" w:rsidR="00000000" w:rsidRPr="00000000">
        <w:rPr>
          <w:rtl w:val="0"/>
        </w:rPr>
      </w:r>
    </w:p>
    <w:p w:rsidR="00000000" w:rsidDel="00000000" w:rsidP="00000000" w:rsidRDefault="00000000" w:rsidRPr="00000000" w14:paraId="000000A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ANEXO I- DAS ESPECIFICAÇÕES E QUANTITATIVOS ESTIMADOS</w:t>
      </w:r>
    </w:p>
    <w:p w:rsidR="00000000" w:rsidDel="00000000" w:rsidP="00000000" w:rsidRDefault="00000000" w:rsidRPr="00000000" w14:paraId="000000AC">
      <w:pPr>
        <w:tabs>
          <w:tab w:val="left" w:pos="284"/>
        </w:tabs>
        <w:spacing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OBJETO: </w:t>
      </w:r>
      <w:r w:rsidDel="00000000" w:rsidR="00000000" w:rsidRPr="00000000">
        <w:rPr>
          <w:rFonts w:ascii="Calibri" w:cs="Calibri" w:eastAsia="Calibri" w:hAnsi="Calibri"/>
          <w:sz w:val="22"/>
          <w:szCs w:val="22"/>
          <w:rtl w:val="0"/>
        </w:rPr>
        <w:t xml:space="preserve">O objeto perfaz Registrar Preços para futura e eventual </w:t>
      </w:r>
      <w:r w:rsidDel="00000000" w:rsidR="00000000" w:rsidRPr="00000000">
        <w:rPr>
          <w:rFonts w:ascii="Calibri" w:cs="Calibri" w:eastAsia="Calibri" w:hAnsi="Calibri"/>
          <w:b w:val="1"/>
          <w:sz w:val="22"/>
          <w:szCs w:val="22"/>
          <w:rtl w:val="0"/>
        </w:rPr>
        <w:t xml:space="preserve">Aquisição de mesas, cadeiras e tendas em PVC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para atendimento aos diversos Órgãos e Entidades da Administração Pública do Município de Maceió, nas especificações e quantidades constantes abaixo:</w:t>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tl w:val="0"/>
        </w:rPr>
      </w:r>
    </w:p>
    <w:tbl>
      <w:tblPr>
        <w:tblStyle w:val="Table1"/>
        <w:tblW w:w="9431.0" w:type="dxa"/>
        <w:jc w:val="left"/>
        <w:tblInd w:w="33.0" w:type="dxa"/>
        <w:tblLayout w:type="fixed"/>
        <w:tblLook w:val="0000"/>
      </w:tblPr>
      <w:tblGrid>
        <w:gridCol w:w="700"/>
        <w:gridCol w:w="6179"/>
        <w:gridCol w:w="1134"/>
        <w:gridCol w:w="1418"/>
        <w:tblGridChange w:id="0">
          <w:tblGrid>
            <w:gridCol w:w="700"/>
            <w:gridCol w:w="6179"/>
            <w:gridCol w:w="1134"/>
            <w:gridCol w:w="1418"/>
          </w:tblGrid>
        </w:tblGridChange>
      </w:tblGrid>
      <w:tr>
        <w:trPr>
          <w:trHeight w:val="119" w:hRule="atLeast"/>
        </w:trPr>
        <w:tc>
          <w:tcPr>
            <w:tcBorders>
              <w:top w:color="000000" w:space="0" w:sz="4" w:val="single"/>
              <w:left w:color="000000" w:space="0" w:sz="4" w:val="single"/>
              <w:bottom w:color="000000" w:space="0" w:sz="4" w:val="single"/>
            </w:tcBorders>
            <w:shd w:fill="a6a6a6" w:val="clear"/>
            <w:vAlign w:val="center"/>
          </w:tcPr>
          <w:p w:rsidR="00000000" w:rsidDel="00000000" w:rsidP="00000000" w:rsidRDefault="00000000" w:rsidRPr="00000000" w14:paraId="000000AE">
            <w:pPr>
              <w:jc w:val="center"/>
              <w:rPr>
                <w:rFonts w:ascii="Calibri" w:cs="Calibri" w:eastAsia="Calibri" w:hAnsi="Calibri"/>
                <w:b w:val="1"/>
                <w:smallCaps w:val="1"/>
                <w:sz w:val="18"/>
                <w:szCs w:val="18"/>
              </w:rPr>
            </w:pPr>
            <w:r w:rsidDel="00000000" w:rsidR="00000000" w:rsidRPr="00000000">
              <w:rPr>
                <w:rFonts w:ascii="Calibri" w:cs="Calibri" w:eastAsia="Calibri" w:hAnsi="Calibri"/>
                <w:b w:val="1"/>
                <w:sz w:val="18"/>
                <w:szCs w:val="18"/>
                <w:rtl w:val="0"/>
              </w:rPr>
              <w:t xml:space="preserve">Item </w:t>
            </w:r>
            <w:r w:rsidDel="00000000" w:rsidR="00000000" w:rsidRPr="00000000">
              <w:rPr>
                <w:rtl w:val="0"/>
              </w:rPr>
            </w:r>
          </w:p>
        </w:tc>
        <w:tc>
          <w:tcPr>
            <w:tcBorders>
              <w:top w:color="000000" w:space="0" w:sz="4" w:val="single"/>
              <w:left w:color="000000" w:space="0" w:sz="4" w:val="single"/>
              <w:bottom w:color="000000" w:space="0" w:sz="4" w:val="single"/>
            </w:tcBorders>
            <w:shd w:fill="a6a6a6" w:val="clear"/>
            <w:vAlign w:val="center"/>
          </w:tcPr>
          <w:p w:rsidR="00000000" w:rsidDel="00000000" w:rsidP="00000000" w:rsidRDefault="00000000" w:rsidRPr="00000000" w14:paraId="000000A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Descrição </w:t>
            </w:r>
          </w:p>
        </w:tc>
        <w:tc>
          <w:tcPr>
            <w:tcBorders>
              <w:top w:color="000000" w:space="0" w:sz="4" w:val="single"/>
              <w:left w:color="000000" w:space="0" w:sz="4" w:val="single"/>
              <w:bottom w:color="000000" w:space="0" w:sz="4" w:val="single"/>
            </w:tcBorders>
            <w:shd w:fill="a6a6a6" w:val="clear"/>
            <w:vAlign w:val="center"/>
          </w:tcPr>
          <w:p w:rsidR="00000000" w:rsidDel="00000000" w:rsidP="00000000" w:rsidRDefault="00000000" w:rsidRPr="00000000" w14:paraId="000000B0">
            <w:pPr>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Unidade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0B1">
            <w:pPr>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Quantidade </w:t>
            </w:r>
            <w:r w:rsidDel="00000000" w:rsidR="00000000" w:rsidRPr="00000000">
              <w:rPr>
                <w:rtl w:val="0"/>
              </w:rPr>
            </w:r>
          </w:p>
        </w:tc>
      </w:tr>
      <w:tr>
        <w:trPr>
          <w:trHeight w:val="119"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MESA QUADRADA PLÁSTICO - confeccionada em polipropileno na cor branca, resistente, empilhável, abertura para guarda sol, lavável, com capacidade para quatro lugares, dimensões 70 x 70 x 72 cm (comprimento x largura x altura). Variação de até 10%. Garantia mínima de 12 meses a partir da data entrega.</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Catmat: </w:t>
            </w:r>
            <w:r w:rsidDel="00000000" w:rsidR="00000000" w:rsidRPr="00000000">
              <w:rPr>
                <w:rFonts w:ascii="Calibri" w:cs="Calibri" w:eastAsia="Calibri" w:hAnsi="Calibri"/>
                <w:b w:val="1"/>
                <w:i w:val="0"/>
                <w:smallCaps w:val="0"/>
                <w:strike w:val="0"/>
                <w:color w:val="000000"/>
                <w:sz w:val="18"/>
                <w:szCs w:val="18"/>
                <w:highlight w:val="white"/>
                <w:u w:val="none"/>
                <w:vertAlign w:val="baseline"/>
                <w:rtl w:val="0"/>
              </w:rPr>
              <w:t xml:space="preserve">150942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5">
            <w:pPr>
              <w:ind w:right="-138"/>
              <w:jc w:val="center"/>
              <w:rPr>
                <w:rFonts w:ascii="Calibri" w:cs="Calibri" w:eastAsia="Calibri" w:hAnsi="Calibri"/>
              </w:rPr>
            </w:pPr>
            <w:r w:rsidDel="00000000" w:rsidR="00000000" w:rsidRPr="00000000">
              <w:rPr>
                <w:rFonts w:ascii="Calibri" w:cs="Calibri" w:eastAsia="Calibri" w:hAnsi="Calibri"/>
                <w:sz w:val="22"/>
                <w:szCs w:val="22"/>
                <w:rtl w:val="0"/>
              </w:rPr>
              <w:t xml:space="preserve">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ind w:right="-138"/>
              <w:jc w:val="center"/>
              <w:rPr>
                <w:rFonts w:ascii="Calibri" w:cs="Calibri" w:eastAsia="Calibri" w:hAnsi="Calibri"/>
              </w:rPr>
            </w:pPr>
            <w:r w:rsidDel="00000000" w:rsidR="00000000" w:rsidRPr="00000000">
              <w:rPr>
                <w:rtl w:val="0"/>
              </w:rPr>
            </w:r>
          </w:p>
        </w:tc>
      </w:tr>
      <w:tr>
        <w:trPr>
          <w:trHeight w:val="119"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CADEIRA PLÁSTICA COM BRAÇO – Confeccionada em polipropileno na cor Branca, resistente, empilhável, com 04 (quatro) pés. Peso aproximado: 2,5 kg. Suportar no mínimo 182 Kg ± 1,8kg. Dimensões aproximadas: 79cm x 56cm x 42 cm (Altura, largura e profundidade). Variação de até 10%. Uso irrestrito: ambiente interno e externo.  Seja certificada por entidade reconhecida pelo INMETRO.  Garantia mínima de 12 meses a partir da data da entrega. conforme NBR 14776:2013.</w:t>
            </w:r>
          </w:p>
          <w:p w:rsidR="00000000" w:rsidDel="00000000" w:rsidP="00000000" w:rsidRDefault="00000000" w:rsidRPr="00000000" w14:paraId="000000B9">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Catmat:</w:t>
            </w:r>
            <w:r w:rsidDel="00000000" w:rsidR="00000000" w:rsidRPr="00000000">
              <w:rPr>
                <w:rFonts w:ascii="Calibri" w:cs="Calibri" w:eastAsia="Calibri" w:hAnsi="Calibri"/>
                <w:b w:val="1"/>
                <w:sz w:val="18"/>
                <w:szCs w:val="18"/>
                <w:highlight w:val="white"/>
                <w:rtl w:val="0"/>
              </w:rPr>
              <w:t xml:space="preserve"> 151069</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A">
            <w:pPr>
              <w:ind w:right="-138"/>
              <w:jc w:val="center"/>
              <w:rPr>
                <w:rFonts w:ascii="Calibri" w:cs="Calibri" w:eastAsia="Calibri" w:hAnsi="Calibri"/>
              </w:rPr>
            </w:pPr>
            <w:r w:rsidDel="00000000" w:rsidR="00000000" w:rsidRPr="00000000">
              <w:rPr>
                <w:rFonts w:ascii="Calibri" w:cs="Calibri" w:eastAsia="Calibri" w:hAnsi="Calibri"/>
                <w:sz w:val="22"/>
                <w:szCs w:val="22"/>
                <w:rtl w:val="0"/>
              </w:rPr>
              <w:t xml:space="preserve">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ind w:right="-138"/>
              <w:jc w:val="center"/>
              <w:rPr>
                <w:rFonts w:ascii="Calibri" w:cs="Calibri" w:eastAsia="Calibri" w:hAnsi="Calibri"/>
              </w:rPr>
            </w:pPr>
            <w:r w:rsidDel="00000000" w:rsidR="00000000" w:rsidRPr="00000000">
              <w:rPr>
                <w:rtl w:val="0"/>
              </w:rPr>
            </w:r>
          </w:p>
        </w:tc>
      </w:tr>
      <w:tr>
        <w:trPr>
          <w:trHeight w:val="119"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B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03</w:t>
            </w:r>
          </w:p>
        </w:tc>
        <w:tc>
          <w:tcPr>
            <w:tcBorders>
              <w:left w:color="000000" w:space="0" w:sz="4" w:val="single"/>
              <w:bottom w:color="000000" w:space="0" w:sz="4" w:val="single"/>
            </w:tcBorders>
            <w:shd w:fill="auto" w:val="clear"/>
          </w:tcPr>
          <w:p w:rsidR="00000000" w:rsidDel="00000000" w:rsidP="00000000" w:rsidRDefault="00000000" w:rsidRPr="00000000" w14:paraId="000000B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BANCO DE PLÁSTICO – Tipo Tamborete, confeccionado em polipropileno na cor branca,resistente. Peso aproximado: 1,0kg. Suporta até 120kg. Com 04 (quatro) pés. Dimensões aproximadas: 47 cmx41cmx25cm (altura, largura e profundidade).  Pode haver variação de até 10%. Garantia mínima de 12 meses.</w:t>
            </w:r>
          </w:p>
          <w:p w:rsidR="00000000" w:rsidDel="00000000" w:rsidP="00000000" w:rsidRDefault="00000000" w:rsidRPr="00000000" w14:paraId="000000BE">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Catmat: </w:t>
            </w:r>
            <w:r w:rsidDel="00000000" w:rsidR="00000000" w:rsidRPr="00000000">
              <w:rPr>
                <w:rFonts w:ascii="Calibri" w:cs="Calibri" w:eastAsia="Calibri" w:hAnsi="Calibri"/>
                <w:b w:val="1"/>
                <w:sz w:val="18"/>
                <w:szCs w:val="18"/>
                <w:highlight w:val="white"/>
                <w:rtl w:val="0"/>
              </w:rPr>
              <w:t xml:space="preserve">150525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F">
            <w:pPr>
              <w:ind w:right="-138"/>
              <w:jc w:val="center"/>
              <w:rPr>
                <w:rFonts w:ascii="Calibri" w:cs="Calibri" w:eastAsia="Calibri" w:hAnsi="Calibri"/>
              </w:rPr>
            </w:pPr>
            <w:r w:rsidDel="00000000" w:rsidR="00000000" w:rsidRPr="00000000">
              <w:rPr>
                <w:rFonts w:ascii="Calibri" w:cs="Calibri" w:eastAsia="Calibri" w:hAnsi="Calibri"/>
                <w:sz w:val="22"/>
                <w:szCs w:val="22"/>
                <w:rtl w:val="0"/>
              </w:rPr>
              <w:t xml:space="preserve">UND</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ind w:right="-138"/>
              <w:jc w:val="center"/>
              <w:rPr>
                <w:rFonts w:ascii="Calibri" w:cs="Calibri" w:eastAsia="Calibri" w:hAnsi="Calibri"/>
              </w:rPr>
            </w:pPr>
            <w:r w:rsidDel="00000000" w:rsidR="00000000" w:rsidRPr="00000000">
              <w:rPr>
                <w:rtl w:val="0"/>
              </w:rPr>
            </w:r>
          </w:p>
        </w:tc>
      </w:tr>
      <w:tr>
        <w:trPr>
          <w:trHeight w:val="11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jc w:val="center"/>
              <w:rPr>
                <w:rFonts w:ascii="Calibri" w:cs="Calibri" w:eastAsia="Calibri" w:hAnsi="Calibri"/>
                <w:sz w:val="18"/>
                <w:szCs w:val="18"/>
              </w:rPr>
            </w:pPr>
            <w:bookmarkStart w:colFirst="0" w:colLast="0" w:name="_30j0zll" w:id="1"/>
            <w:bookmarkEnd w:id="1"/>
            <w:r w:rsidDel="00000000" w:rsidR="00000000" w:rsidRPr="00000000">
              <w:rPr>
                <w:rFonts w:ascii="Calibri" w:cs="Calibri" w:eastAsia="Calibri" w:hAnsi="Calibri"/>
                <w:sz w:val="18"/>
                <w:szCs w:val="18"/>
                <w:rtl w:val="0"/>
              </w:rPr>
              <w:t xml:space="preserve">04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CADEIRA PLÁSTICA SEM BRAÇO – Confeccionada em polipropileno na cor Branca, resistente, empilhável, com 04 (quatro) pés. Peso aproximado: 2,5 kg. Suportar no mínimo 182 Kg ± 1,8kg.  Dimensões aproximadas: 86cm x 39cm x 40cm. Variação de até 10%. Uso irrestrito: ambiente interno e externo. Seja certificada por entidade reconhecida pelo INMETRO. Garantia mínima de 12 meses a partir da data da entrega. Conforme NBR 14776:2013.</w:t>
            </w:r>
          </w:p>
          <w:p w:rsidR="00000000" w:rsidDel="00000000" w:rsidP="00000000" w:rsidRDefault="00000000" w:rsidRPr="00000000" w14:paraId="000000C3">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Catmat: </w:t>
            </w:r>
            <w:r w:rsidDel="00000000" w:rsidR="00000000" w:rsidRPr="00000000">
              <w:rPr>
                <w:rFonts w:ascii="Calibri" w:cs="Calibri" w:eastAsia="Calibri" w:hAnsi="Calibri"/>
                <w:b w:val="1"/>
                <w:sz w:val="18"/>
                <w:szCs w:val="18"/>
                <w:highlight w:val="white"/>
                <w:rtl w:val="0"/>
              </w:rPr>
              <w:t xml:space="preserve">151069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ind w:right="-138"/>
              <w:jc w:val="center"/>
              <w:rPr>
                <w:rFonts w:ascii="Calibri" w:cs="Calibri" w:eastAsia="Calibri" w:hAnsi="Calibri"/>
              </w:rPr>
            </w:pPr>
            <w:r w:rsidDel="00000000" w:rsidR="00000000" w:rsidRPr="00000000">
              <w:rPr>
                <w:rFonts w:ascii="Calibri" w:cs="Calibri" w:eastAsia="Calibri" w:hAnsi="Calibri"/>
                <w:sz w:val="22"/>
                <w:szCs w:val="22"/>
                <w:rtl w:val="0"/>
              </w:rPr>
              <w:t xml:space="preserve">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ind w:right="-138"/>
              <w:jc w:val="center"/>
              <w:rPr>
                <w:rFonts w:ascii="Calibri" w:cs="Calibri" w:eastAsia="Calibri" w:hAnsi="Calibri"/>
              </w:rPr>
            </w:pPr>
            <w:r w:rsidDel="00000000" w:rsidR="00000000" w:rsidRPr="00000000">
              <w:rPr>
                <w:rtl w:val="0"/>
              </w:rPr>
            </w:r>
          </w:p>
        </w:tc>
      </w:tr>
      <w:tr>
        <w:trPr>
          <w:trHeight w:val="119"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C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05</w:t>
            </w:r>
          </w:p>
        </w:tc>
        <w:tc>
          <w:tcPr>
            <w:tcBorders>
              <w:left w:color="000000" w:space="0" w:sz="4" w:val="single"/>
              <w:bottom w:color="000000" w:space="0" w:sz="4" w:val="single"/>
            </w:tcBorders>
            <w:shd w:fill="auto" w:val="clear"/>
          </w:tcPr>
          <w:p w:rsidR="00000000" w:rsidDel="00000000" w:rsidP="00000000" w:rsidRDefault="00000000" w:rsidRPr="00000000" w14:paraId="000000C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TENDA SANFONADA EM PVC – DESCRIÇÃO: tamanho 3X3. Estrutura Metálica: Fabricada com chapas de ferro metalon e obbilong, com espessuras 15 x 15, 20 x 20, 25 x 25 e 30 x 30 mm, armados em forma de pantógrafos (sanfonas), unidas por parafusos e roscas em aço e com galvanização em sistema de alta resistência. Lona de cobertura na cor branca em PVC com costuras mecânicas duplas em PVC na cor da lona. Pés de sustentação fabricados com chapas de ferro metalon nas espessuras de 15 x 15, 20 x 20, 25 x 25 e 30 x 30 mm, armados em formato telescópico e com altura de 2,00 mt, com três regulagens de altura.  Pode haver variação de, no máximo, 10% (dez por cento) em todas as medidas acima mencionadas.   Garantia mínima de 03 meses.</w:t>
            </w:r>
          </w:p>
          <w:p w:rsidR="00000000" w:rsidDel="00000000" w:rsidP="00000000" w:rsidRDefault="00000000" w:rsidRPr="00000000" w14:paraId="000000C8">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Catmat: </w:t>
            </w:r>
            <w:r w:rsidDel="00000000" w:rsidR="00000000" w:rsidRPr="00000000">
              <w:rPr>
                <w:rFonts w:ascii="Calibri" w:cs="Calibri" w:eastAsia="Calibri" w:hAnsi="Calibri"/>
                <w:b w:val="1"/>
                <w:sz w:val="18"/>
                <w:szCs w:val="18"/>
                <w:highlight w:val="white"/>
                <w:rtl w:val="0"/>
              </w:rPr>
              <w:t xml:space="preserve">394694</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9">
            <w:pPr>
              <w:ind w:right="-138"/>
              <w:jc w:val="center"/>
              <w:rPr>
                <w:rFonts w:ascii="Calibri" w:cs="Calibri" w:eastAsia="Calibri" w:hAnsi="Calibri"/>
              </w:rPr>
            </w:pPr>
            <w:r w:rsidDel="00000000" w:rsidR="00000000" w:rsidRPr="00000000">
              <w:rPr>
                <w:rFonts w:ascii="Calibri" w:cs="Calibri" w:eastAsia="Calibri" w:hAnsi="Calibri"/>
                <w:sz w:val="22"/>
                <w:szCs w:val="22"/>
                <w:rtl w:val="0"/>
              </w:rPr>
              <w:t xml:space="preserve">UND</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ind w:right="-138"/>
              <w:jc w:val="center"/>
              <w:rPr>
                <w:rFonts w:ascii="Calibri" w:cs="Calibri" w:eastAsia="Calibri" w:hAnsi="Calibri"/>
              </w:rPr>
            </w:pPr>
            <w:r w:rsidDel="00000000" w:rsidR="00000000" w:rsidRPr="00000000">
              <w:rPr>
                <w:rtl w:val="0"/>
              </w:rPr>
            </w:r>
          </w:p>
        </w:tc>
      </w:tr>
      <w:tr>
        <w:trPr>
          <w:trHeight w:val="11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TENDA TIPO PIRAMIDE 6X6M - em lona pvc, antichama, estrutura metálica em ferro tubular, bitolas de 03,00’’ e 01,00’’, medindo aproximadamente 6,00 m x 6,00 m, com sanefas laterais.  Garantia mínima de 03 meses.</w:t>
            </w:r>
          </w:p>
          <w:p w:rsidR="00000000" w:rsidDel="00000000" w:rsidP="00000000" w:rsidRDefault="00000000" w:rsidRPr="00000000" w14:paraId="000000CD">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Catmat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highlight w:val="white"/>
                <w:rtl w:val="0"/>
              </w:rPr>
              <w:t xml:space="preserve">150905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ind w:right="-138"/>
              <w:jc w:val="center"/>
              <w:rPr>
                <w:rFonts w:ascii="Calibri" w:cs="Calibri" w:eastAsia="Calibri" w:hAnsi="Calibri"/>
              </w:rPr>
            </w:pPr>
            <w:r w:rsidDel="00000000" w:rsidR="00000000" w:rsidRPr="00000000">
              <w:rPr>
                <w:rFonts w:ascii="Calibri" w:cs="Calibri" w:eastAsia="Calibri" w:hAnsi="Calibri"/>
                <w:sz w:val="22"/>
                <w:szCs w:val="22"/>
                <w:rtl w:val="0"/>
              </w:rPr>
              <w:t xml:space="preserve">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ind w:right="-138"/>
              <w:jc w:val="center"/>
              <w:rPr>
                <w:rFonts w:ascii="Calibri" w:cs="Calibri" w:eastAsia="Calibri" w:hAnsi="Calibri"/>
              </w:rPr>
            </w:pPr>
            <w:r w:rsidDel="00000000" w:rsidR="00000000" w:rsidRPr="00000000">
              <w:rPr>
                <w:rtl w:val="0"/>
              </w:rPr>
            </w:r>
          </w:p>
        </w:tc>
      </w:tr>
      <w:tr>
        <w:trPr>
          <w:trHeight w:val="118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TENDA TIPO PIRAMIDE 12X12M - em lona pvc, antichama, estrutura metálica em ferro tubular, bitolas de 03,00’’ e 01,00’’, medindo aproximadamente 12,00 m x 12,00 m, com sanefas laterais.  Garantia mínima de 03 meses.</w:t>
            </w:r>
          </w:p>
          <w:p w:rsidR="00000000" w:rsidDel="00000000" w:rsidP="00000000" w:rsidRDefault="00000000" w:rsidRPr="00000000" w14:paraId="000000D2">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Catmat: </w:t>
            </w:r>
            <w:r w:rsidDel="00000000" w:rsidR="00000000" w:rsidRPr="00000000">
              <w:rPr>
                <w:rFonts w:ascii="Calibri" w:cs="Calibri" w:eastAsia="Calibri" w:hAnsi="Calibri"/>
                <w:b w:val="1"/>
                <w:sz w:val="18"/>
                <w:szCs w:val="18"/>
                <w:highlight w:val="white"/>
                <w:rtl w:val="0"/>
              </w:rPr>
              <w:t xml:space="preserve">150905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3">
            <w:pPr>
              <w:ind w:right="-138"/>
              <w:jc w:val="center"/>
              <w:rPr>
                <w:rFonts w:ascii="Calibri" w:cs="Calibri" w:eastAsia="Calibri" w:hAnsi="Calibri"/>
              </w:rPr>
            </w:pPr>
            <w:r w:rsidDel="00000000" w:rsidR="00000000" w:rsidRPr="00000000">
              <w:rPr>
                <w:rFonts w:ascii="Calibri" w:cs="Calibri" w:eastAsia="Calibri" w:hAnsi="Calibri"/>
                <w:sz w:val="22"/>
                <w:szCs w:val="22"/>
                <w:rtl w:val="0"/>
              </w:rPr>
              <w:t xml:space="preserve">UND</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ind w:right="-138"/>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D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II- ENDEREÇOS DE ENTREGA DOS ÓRGÃOS</w:t>
      </w:r>
    </w:p>
    <w:p w:rsidR="00000000" w:rsidDel="00000000" w:rsidP="00000000" w:rsidRDefault="00000000" w:rsidRPr="00000000" w14:paraId="000000D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b w:val="1"/>
          <w:sz w:val="22"/>
          <w:szCs w:val="22"/>
        </w:rPr>
      </w:pPr>
      <w:bookmarkStart w:colFirst="0" w:colLast="0" w:name="_1fob9te" w:id="2"/>
      <w:bookmarkEnd w:id="2"/>
      <w:r w:rsidDel="00000000" w:rsidR="00000000" w:rsidRPr="00000000">
        <w:rPr>
          <w:rtl w:val="0"/>
        </w:rPr>
      </w:r>
    </w:p>
    <w:tbl>
      <w:tblPr>
        <w:tblStyle w:val="Table2"/>
        <w:tblW w:w="9506.0" w:type="dxa"/>
        <w:jc w:val="left"/>
        <w:tblInd w:w="-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
        <w:gridCol w:w="1412"/>
        <w:gridCol w:w="47"/>
        <w:gridCol w:w="7437"/>
        <w:tblGridChange w:id="0">
          <w:tblGrid>
            <w:gridCol w:w="610"/>
            <w:gridCol w:w="1412"/>
            <w:gridCol w:w="47"/>
            <w:gridCol w:w="7437"/>
          </w:tblGrid>
        </w:tblGridChange>
      </w:tblGrid>
      <w:tr>
        <w:trPr>
          <w:trHeight w:val="524" w:hRule="atLeast"/>
        </w:trPr>
        <w:tc>
          <w:tcPr>
            <w:gridSpan w:val="2"/>
            <w:vAlign w:val="center"/>
          </w:tcPr>
          <w:p w:rsidR="00000000" w:rsidDel="00000000" w:rsidP="00000000" w:rsidRDefault="00000000" w:rsidRPr="00000000" w14:paraId="000000D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ÓRGÃO GERENCIADOR</w:t>
            </w:r>
          </w:p>
        </w:tc>
        <w:tc>
          <w:tcPr>
            <w:gridSpan w:val="2"/>
            <w:vAlign w:val="center"/>
          </w:tcPr>
          <w:p w:rsidR="00000000" w:rsidDel="00000000" w:rsidP="00000000" w:rsidRDefault="00000000" w:rsidRPr="00000000" w14:paraId="000000E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ENDEREÇO</w:t>
            </w:r>
          </w:p>
        </w:tc>
      </w:tr>
      <w:tr>
        <w:trPr>
          <w:trHeight w:val="257" w:hRule="atLeast"/>
        </w:trPr>
        <w:tc>
          <w:tcPr/>
          <w:p w:rsidR="00000000" w:rsidDel="00000000" w:rsidP="00000000" w:rsidRDefault="00000000" w:rsidRPr="00000000" w14:paraId="000000E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gridSpan w:val="2"/>
          </w:tcPr>
          <w:p w:rsidR="00000000" w:rsidDel="00000000" w:rsidP="00000000" w:rsidRDefault="00000000" w:rsidRPr="00000000" w14:paraId="000000E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ARSER</w:t>
            </w:r>
          </w:p>
          <w:p w:rsidR="00000000" w:rsidDel="00000000" w:rsidP="00000000" w:rsidRDefault="00000000" w:rsidRPr="00000000" w14:paraId="000000E5">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7">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Rua Eng. Roberto Gonçalves Menezes, 71, Centro, Maceió – AL CEP:57020-680 (82) 3315-3713 / 3714 / 3715. Maceio/AL</w:t>
            </w:r>
            <w:r w:rsidDel="00000000" w:rsidR="00000000" w:rsidRPr="00000000">
              <w:rPr>
                <w:rtl w:val="0"/>
              </w:rPr>
            </w:r>
          </w:p>
        </w:tc>
      </w:tr>
      <w:tr>
        <w:trPr>
          <w:trHeight w:val="448" w:hRule="atLeast"/>
        </w:trPr>
        <w:tc>
          <w:tcPr>
            <w:gridSpan w:val="2"/>
            <w:vAlign w:val="center"/>
          </w:tcPr>
          <w:p w:rsidR="00000000" w:rsidDel="00000000" w:rsidP="00000000" w:rsidRDefault="00000000" w:rsidRPr="00000000" w14:paraId="000000E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ÓRGÃOS PARTICIPANTES</w:t>
            </w:r>
          </w:p>
        </w:tc>
        <w:tc>
          <w:tcPr>
            <w:gridSpan w:val="2"/>
            <w:vAlign w:val="center"/>
          </w:tcPr>
          <w:p w:rsidR="00000000" w:rsidDel="00000000" w:rsidP="00000000" w:rsidRDefault="00000000" w:rsidRPr="00000000" w14:paraId="000000E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ENDEREÇOS:</w:t>
            </w:r>
          </w:p>
        </w:tc>
      </w:tr>
      <w:tr>
        <w:trPr>
          <w:trHeight w:val="353" w:hRule="atLeast"/>
        </w:trPr>
        <w:tc>
          <w:tcPr/>
          <w:p w:rsidR="00000000" w:rsidDel="00000000" w:rsidP="00000000" w:rsidRDefault="00000000" w:rsidRPr="00000000" w14:paraId="000000EC">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gridSpan w:val="2"/>
            <w:shd w:fill="ffffff" w:val="clear"/>
          </w:tcPr>
          <w:p w:rsidR="00000000" w:rsidDel="00000000" w:rsidP="00000000" w:rsidRDefault="00000000" w:rsidRPr="00000000" w14:paraId="000000ED">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SEMED</w:t>
            </w:r>
          </w:p>
        </w:tc>
        <w:tc>
          <w:tcPr/>
          <w:p w:rsidR="00000000" w:rsidDel="00000000" w:rsidP="00000000" w:rsidRDefault="00000000" w:rsidRPr="00000000" w14:paraId="000000EF">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General Hermes, 1199, Cambona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57017-000 //Fone: (82) 3315-4553</w:t>
            </w:r>
          </w:p>
        </w:tc>
      </w:tr>
      <w:tr>
        <w:trPr>
          <w:trHeight w:val="353" w:hRule="atLeast"/>
        </w:trPr>
        <w:tc>
          <w:tcPr/>
          <w:p w:rsidR="00000000" w:rsidDel="00000000" w:rsidP="00000000" w:rsidRDefault="00000000" w:rsidRPr="00000000" w14:paraId="000000F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gridSpan w:val="2"/>
            <w:shd w:fill="ffffff" w:val="clear"/>
          </w:tcPr>
          <w:p w:rsidR="00000000" w:rsidDel="00000000" w:rsidP="00000000" w:rsidRDefault="00000000" w:rsidRPr="00000000" w14:paraId="000000F1">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SEMTEL</w:t>
            </w:r>
          </w:p>
        </w:tc>
        <w:tc>
          <w:tcPr/>
          <w:p w:rsidR="00000000" w:rsidDel="00000000" w:rsidP="00000000" w:rsidRDefault="00000000" w:rsidRPr="00000000" w14:paraId="000000F3">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Sá e Albuquerque, 235, Jaraguá  CEP: 57022-180 // Fone: (82) 3315 6019 | Vila Olímpica: Av. Alice Karoline, 43, Cidade Universitária // Fone: (82) 3315-3990</w:t>
            </w:r>
          </w:p>
        </w:tc>
      </w:tr>
      <w:tr>
        <w:trPr>
          <w:trHeight w:val="353" w:hRule="atLeast"/>
        </w:trPr>
        <w:tc>
          <w:tcPr/>
          <w:p w:rsidR="00000000" w:rsidDel="00000000" w:rsidP="00000000" w:rsidRDefault="00000000" w:rsidRPr="00000000" w14:paraId="000000F4">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gridSpan w:val="2"/>
            <w:shd w:fill="ffffff" w:val="clear"/>
          </w:tcPr>
          <w:p w:rsidR="00000000" w:rsidDel="00000000" w:rsidP="00000000" w:rsidRDefault="00000000" w:rsidRPr="00000000" w14:paraId="000000F5">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SEMINFRA</w:t>
            </w:r>
          </w:p>
        </w:tc>
        <w:tc>
          <w:tcPr/>
          <w:p w:rsidR="00000000" w:rsidDel="00000000" w:rsidP="00000000" w:rsidRDefault="00000000" w:rsidRPr="00000000" w14:paraId="000000F7">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do Imperador, 307, Centro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57023-060 // Fones: (82) 3315-5005 /3536</w:t>
            </w:r>
          </w:p>
        </w:tc>
      </w:tr>
      <w:tr>
        <w:trPr>
          <w:trHeight w:val="353" w:hRule="atLeast"/>
        </w:trPr>
        <w:tc>
          <w:tcPr/>
          <w:p w:rsidR="00000000" w:rsidDel="00000000" w:rsidP="00000000" w:rsidRDefault="00000000" w:rsidRPr="00000000" w14:paraId="000000F8">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gridSpan w:val="2"/>
            <w:shd w:fill="ffffff" w:val="clear"/>
          </w:tcPr>
          <w:p w:rsidR="00000000" w:rsidDel="00000000" w:rsidP="00000000" w:rsidRDefault="00000000" w:rsidRPr="00000000" w14:paraId="000000F9">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SUDES</w:t>
            </w:r>
          </w:p>
        </w:tc>
        <w:tc>
          <w:tcPr/>
          <w:p w:rsidR="00000000" w:rsidDel="00000000" w:rsidP="00000000" w:rsidRDefault="00000000" w:rsidRPr="00000000" w14:paraId="000000FB">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Marquês de Abrantes, s/n, Bebedouro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57018-655 // Fones: (82) 3315-4735 /4736 Parque Municipal: 3358-6232</w:t>
            </w:r>
          </w:p>
        </w:tc>
      </w:tr>
      <w:tr>
        <w:trPr>
          <w:trHeight w:val="353" w:hRule="atLeast"/>
        </w:trPr>
        <w:tc>
          <w:tcPr/>
          <w:p w:rsidR="00000000" w:rsidDel="00000000" w:rsidP="00000000" w:rsidRDefault="00000000" w:rsidRPr="00000000" w14:paraId="000000FC">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gridSpan w:val="2"/>
            <w:shd w:fill="ffffff" w:val="clear"/>
          </w:tcPr>
          <w:p w:rsidR="00000000" w:rsidDel="00000000" w:rsidP="00000000" w:rsidRDefault="00000000" w:rsidRPr="00000000" w14:paraId="000000FD">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PGM</w:t>
            </w:r>
          </w:p>
        </w:tc>
        <w:tc>
          <w:tcPr/>
          <w:p w:rsidR="00000000" w:rsidDel="00000000" w:rsidP="00000000" w:rsidRDefault="00000000" w:rsidRPr="00000000" w14:paraId="000000FF">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Rua Dr. Pedro Monteiro, 291, Centro.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57020-380 | Telefones: 3327-4902 / 3327-7409 / 3327-1588 / 3327-1447</w:t>
            </w:r>
          </w:p>
        </w:tc>
      </w:tr>
      <w:tr>
        <w:trPr>
          <w:trHeight w:val="353" w:hRule="atLeast"/>
        </w:trPr>
        <w:tc>
          <w:tcPr/>
          <w:p w:rsidR="00000000" w:rsidDel="00000000" w:rsidP="00000000" w:rsidRDefault="00000000" w:rsidRPr="00000000" w14:paraId="0000010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gridSpan w:val="2"/>
            <w:shd w:fill="ffffff" w:val="clear"/>
          </w:tcPr>
          <w:p w:rsidR="00000000" w:rsidDel="00000000" w:rsidP="00000000" w:rsidRDefault="00000000" w:rsidRPr="00000000" w14:paraId="00000101">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SEDET</w:t>
            </w:r>
          </w:p>
        </w:tc>
        <w:tc>
          <w:tcPr/>
          <w:p w:rsidR="00000000" w:rsidDel="00000000" w:rsidP="00000000" w:rsidRDefault="00000000" w:rsidRPr="00000000" w14:paraId="00000103">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Avenida Governador Afrânio Lages, 297, Farol.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- 57050-015 // Fones: (82) 3315- 4754 /</w:t>
            </w:r>
          </w:p>
        </w:tc>
      </w:tr>
      <w:tr>
        <w:trPr>
          <w:trHeight w:val="353" w:hRule="atLeast"/>
        </w:trPr>
        <w:tc>
          <w:tcPr/>
          <w:p w:rsidR="00000000" w:rsidDel="00000000" w:rsidP="00000000" w:rsidRDefault="00000000" w:rsidRPr="00000000" w14:paraId="00000104">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gridSpan w:val="2"/>
            <w:shd w:fill="ffffff" w:val="clear"/>
          </w:tcPr>
          <w:p w:rsidR="00000000" w:rsidDel="00000000" w:rsidP="00000000" w:rsidRDefault="00000000" w:rsidRPr="00000000" w14:paraId="00000105">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SEMTABES</w:t>
            </w:r>
          </w:p>
        </w:tc>
        <w:tc>
          <w:tcPr/>
          <w:p w:rsidR="00000000" w:rsidDel="00000000" w:rsidP="00000000" w:rsidRDefault="00000000" w:rsidRPr="00000000" w14:paraId="00000107">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Sede: Rua do Imperador, 141, Centro.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57020-670 // Fone: (82) 3315-6260 | Sine Maceió: Shopping Popular, Rua do Livramento, Centro.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57020-030</w:t>
            </w:r>
          </w:p>
        </w:tc>
      </w:tr>
      <w:tr>
        <w:trPr>
          <w:trHeight w:val="353" w:hRule="atLeast"/>
        </w:trPr>
        <w:tc>
          <w:tcPr/>
          <w:p w:rsidR="00000000" w:rsidDel="00000000" w:rsidP="00000000" w:rsidRDefault="00000000" w:rsidRPr="00000000" w14:paraId="00000108">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gridSpan w:val="2"/>
            <w:shd w:fill="ffffff" w:val="clear"/>
          </w:tcPr>
          <w:p w:rsidR="00000000" w:rsidDel="00000000" w:rsidP="00000000" w:rsidRDefault="00000000" w:rsidRPr="00000000" w14:paraId="00000109">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SMTT</w:t>
            </w:r>
          </w:p>
        </w:tc>
        <w:tc>
          <w:tcPr/>
          <w:p w:rsidR="00000000" w:rsidDel="00000000" w:rsidP="00000000" w:rsidRDefault="00000000" w:rsidRPr="00000000" w14:paraId="0000010B">
            <w:pPr>
              <w:shd w:fill="ffffff" w:val="clea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Avenida Durval de Góes Monteiro, 829, KM 10, Tabuleiro do Martins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highlight w:val="white"/>
                <w:rtl w:val="0"/>
              </w:rPr>
              <w:t xml:space="preserve">CEP 57061-000 // Fone: (82) 3315-3571</w:t>
            </w:r>
          </w:p>
        </w:tc>
      </w:tr>
      <w:tr>
        <w:trPr>
          <w:trHeight w:val="353" w:hRule="atLeast"/>
        </w:trPr>
        <w:tc>
          <w:tcPr/>
          <w:p w:rsidR="00000000" w:rsidDel="00000000" w:rsidP="00000000" w:rsidRDefault="00000000" w:rsidRPr="00000000" w14:paraId="0000010C">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gridSpan w:val="2"/>
            <w:shd w:fill="ffffff" w:val="clear"/>
          </w:tcPr>
          <w:p w:rsidR="00000000" w:rsidDel="00000000" w:rsidP="00000000" w:rsidRDefault="00000000" w:rsidRPr="00000000" w14:paraId="0000010D">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SEMAS</w:t>
            </w:r>
          </w:p>
        </w:tc>
        <w:tc>
          <w:tcPr>
            <w:vAlign w:val="center"/>
          </w:tcPr>
          <w:p w:rsidR="00000000" w:rsidDel="00000000" w:rsidP="00000000" w:rsidRDefault="00000000" w:rsidRPr="00000000" w14:paraId="0000010F">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SEMAS SEDE – av. Comendador Leão, 1383, Poço, Maceió-AL</w:t>
            </w:r>
          </w:p>
        </w:tc>
      </w:tr>
      <w:tr>
        <w:trPr>
          <w:trHeight w:val="353" w:hRule="atLeast"/>
        </w:trPr>
        <w:tc>
          <w:tcPr/>
          <w:p w:rsidR="00000000" w:rsidDel="00000000" w:rsidP="00000000" w:rsidRDefault="00000000" w:rsidRPr="00000000" w14:paraId="0000011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gridSpan w:val="2"/>
            <w:shd w:fill="ffffff" w:val="clear"/>
          </w:tcPr>
          <w:p w:rsidR="00000000" w:rsidDel="00000000" w:rsidP="00000000" w:rsidRDefault="00000000" w:rsidRPr="00000000" w14:paraId="00000111">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SMS</w:t>
            </w:r>
          </w:p>
        </w:tc>
        <w:tc>
          <w:tcPr/>
          <w:p w:rsidR="00000000" w:rsidDel="00000000" w:rsidP="00000000" w:rsidRDefault="00000000" w:rsidRPr="00000000" w14:paraId="00000113">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Rua Dias Cabral,69, Maceió- AL, Cep: 57020-250</w:t>
            </w:r>
          </w:p>
        </w:tc>
      </w:tr>
    </w:tbl>
    <w:p w:rsidR="00000000" w:rsidDel="00000000" w:rsidP="00000000" w:rsidRDefault="00000000" w:rsidRPr="00000000" w14:paraId="00000114">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jc w:val="center"/>
        <w:rPr>
          <w:rFonts w:ascii="Calibri" w:cs="Calibri" w:eastAsia="Calibri" w:hAnsi="Calibri"/>
          <w:b w:val="1"/>
          <w:sz w:val="22"/>
          <w:szCs w:val="22"/>
        </w:rPr>
      </w:pPr>
      <w:r w:rsidDel="00000000" w:rsidR="00000000" w:rsidRPr="00000000">
        <w:rPr>
          <w:rtl w:val="0"/>
        </w:rPr>
      </w:r>
    </w:p>
    <w:sectPr>
      <w:headerReference r:id="rId6" w:type="default"/>
      <w:footerReference r:id="rId7" w:type="default"/>
      <w:pgSz w:h="16838" w:w="11906"/>
      <w:pgMar w:bottom="1417" w:top="1417" w:left="1701" w:right="849" w:header="56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870001</wp:posOffset>
          </wp:positionH>
          <wp:positionV relativeFrom="paragraph">
            <wp:posOffset>-236854</wp:posOffset>
          </wp:positionV>
          <wp:extent cx="3655060" cy="9429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55060" cy="942975"/>
                  </a:xfrm>
                  <a:prstGeom prst="rect"/>
                  <a:ln/>
                </pic:spPr>
              </pic:pic>
            </a:graphicData>
          </a:graphic>
        </wp:anchor>
      </w:drawing>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798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lowerLetter"/>
      <w:lvlText w:val="%3)"/>
      <w:lvlJc w:val="left"/>
      <w:pPr>
        <w:ind w:left="862"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3"/>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lowerLetter"/>
      <w:lvlText w:val="%3)"/>
      <w:lvlJc w:val="left"/>
      <w:pPr>
        <w:ind w:left="862"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3"/>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lowerLetter"/>
      <w:lvlText w:val="%3)"/>
      <w:lvlJc w:val="left"/>
      <w:pPr>
        <w:ind w:left="862"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8"/>
      <w:numFmt w:val="decimal"/>
      <w:lvlText w:val="%1"/>
      <w:lvlJc w:val="left"/>
      <w:pPr>
        <w:ind w:left="435" w:hanging="435"/>
      </w:pPr>
      <w:rPr/>
    </w:lvl>
    <w:lvl w:ilvl="1">
      <w:start w:val="1"/>
      <w:numFmt w:val="decimal"/>
      <w:lvlText w:val="%1.%2"/>
      <w:lvlJc w:val="left"/>
      <w:pPr>
        <w:ind w:left="435" w:hanging="43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lowerLetter"/>
      <w:lvlText w:val="%3)"/>
      <w:lvlJc w:val="left"/>
      <w:pPr>
        <w:ind w:left="862"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ind w:firstLine="567"/>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