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82464" w14:textId="77777777" w:rsidR="003436BC" w:rsidRDefault="005F4A68">
      <w:pPr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TERMO DE REFERÊNCIA</w:t>
      </w:r>
    </w:p>
    <w:p w14:paraId="7DF8BE7B" w14:textId="77777777" w:rsidR="003436BC" w:rsidRDefault="005F4A68">
      <w:pPr>
        <w:ind w:left="1560" w:right="155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Tendo em vista o que institui a Lei n° 10.520/2002 e seus regulamentos, e subsidiariamente a Lei 8.666/93, cumpre-se apresentar o estudo preliminar denominado “Termo de Referência”, com objetivo de reunir elementos necessários e suficientes à caracterização do objeto a ser contratado, fornecendo subsídios para a montagem do plano de licitação e contratação do(s) bem(</w:t>
      </w:r>
      <w:proofErr w:type="spellStart"/>
      <w:r>
        <w:rPr>
          <w:rFonts w:cstheme="minorHAnsi"/>
          <w:color w:val="000000" w:themeColor="text1"/>
        </w:rPr>
        <w:t>ns</w:t>
      </w:r>
      <w:proofErr w:type="spellEnd"/>
      <w:r>
        <w:rPr>
          <w:rFonts w:cstheme="minorHAnsi"/>
          <w:color w:val="000000" w:themeColor="text1"/>
        </w:rPr>
        <w:t>) e/ou serviço(s) a ser(em) adquiridos(s) a preços praticados no mercado.</w:t>
      </w:r>
    </w:p>
    <w:p w14:paraId="4AB070B1" w14:textId="77777777" w:rsidR="003436BC" w:rsidRDefault="003436BC">
      <w:pPr>
        <w:ind w:left="1560" w:right="1558"/>
        <w:jc w:val="both"/>
        <w:rPr>
          <w:rFonts w:cstheme="minorHAnsi"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07318180"/>
        <w:docPartObj>
          <w:docPartGallery w:val="Table of Contents"/>
          <w:docPartUnique/>
        </w:docPartObj>
      </w:sdtPr>
      <w:sdtEndPr/>
      <w:sdtContent>
        <w:p w14:paraId="6DE00174" w14:textId="77777777" w:rsidR="003436BC" w:rsidRDefault="005F4A68">
          <w:pPr>
            <w:pStyle w:val="TOCHeading"/>
            <w:spacing w:line="276" w:lineRule="auto"/>
            <w:jc w:val="center"/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SUMÁRIO</w:t>
          </w:r>
        </w:p>
        <w:p w14:paraId="45A4A019" w14:textId="77777777" w:rsidR="003436BC" w:rsidRDefault="003436BC">
          <w:pPr>
            <w:rPr>
              <w:rFonts w:cstheme="minorHAnsi"/>
              <w:color w:val="000000" w:themeColor="text1"/>
              <w:lang w:eastAsia="pt-BR"/>
            </w:rPr>
          </w:pPr>
        </w:p>
        <w:p w14:paraId="579EBAB8" w14:textId="77777777" w:rsidR="003436BC" w:rsidRDefault="005F4A68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r>
            <w:fldChar w:fldCharType="begin"/>
          </w:r>
          <w:r>
            <w:rPr>
              <w:rStyle w:val="Vnculodendice"/>
              <w:rFonts w:cs="Calibri"/>
              <w:b/>
              <w:webHidden/>
              <w:highlight w:val="lightGray"/>
            </w:rPr>
            <w:instrText>TOC \z \o "1-3" \u \h</w:instrText>
          </w:r>
          <w:r>
            <w:rPr>
              <w:rStyle w:val="Vnculodendice"/>
              <w:highlight w:val="lightGray"/>
            </w:rPr>
            <w:fldChar w:fldCharType="separate"/>
          </w:r>
          <w:hyperlink w:anchor="_Toc341912">
            <w:r>
              <w:rPr>
                <w:rStyle w:val="Vnculodendice"/>
                <w:rFonts w:cstheme="minorHAnsi"/>
                <w:b/>
                <w:webHidden/>
                <w:highlight w:val="lightGray"/>
              </w:rPr>
              <w:t>1.</w:t>
            </w:r>
            <w:r>
              <w:rPr>
                <w:rStyle w:val="Vnculodendice"/>
                <w:rFonts w:eastAsiaTheme="minorEastAsia"/>
                <w:lang w:eastAsia="pt-BR"/>
              </w:rPr>
              <w:tab/>
            </w:r>
            <w:r>
              <w:rPr>
                <w:rStyle w:val="Vnculodendice"/>
                <w:rFonts w:cstheme="minorHAnsi"/>
                <w:b/>
                <w:highlight w:val="lightGray"/>
              </w:rPr>
              <w:t>DO OBJETO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_Toc341912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7F6E044D" w14:textId="77777777" w:rsidR="003436BC" w:rsidRDefault="00707A5C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hyperlink w:anchor="_Toc341913">
            <w:r w:rsidR="005F4A68">
              <w:rPr>
                <w:rStyle w:val="Vnculodendice"/>
                <w:rFonts w:cstheme="minorHAnsi"/>
                <w:b/>
                <w:webHidden/>
                <w:highlight w:val="lightGray"/>
              </w:rPr>
              <w:t>2.</w:t>
            </w:r>
            <w:r w:rsidR="005F4A68">
              <w:rPr>
                <w:rStyle w:val="Vnculodendice"/>
                <w:rFonts w:eastAsiaTheme="minorEastAsia"/>
                <w:lang w:eastAsia="pt-BR"/>
              </w:rPr>
              <w:tab/>
            </w:r>
            <w:r w:rsidR="005F4A68">
              <w:rPr>
                <w:rStyle w:val="Vnculodendice"/>
                <w:rFonts w:cstheme="minorHAnsi"/>
                <w:b/>
                <w:highlight w:val="lightGray"/>
              </w:rPr>
              <w:t>DA JUSTIFICATIVA</w:t>
            </w:r>
            <w:r w:rsidR="005F4A68">
              <w:rPr>
                <w:webHidden/>
              </w:rPr>
              <w:fldChar w:fldCharType="begin"/>
            </w:r>
            <w:r w:rsidR="005F4A68">
              <w:rPr>
                <w:webHidden/>
              </w:rPr>
              <w:instrText>PAGEREF _Toc341913 \h</w:instrText>
            </w:r>
            <w:r w:rsidR="005F4A68">
              <w:rPr>
                <w:webHidden/>
              </w:rPr>
            </w:r>
            <w:r w:rsidR="005F4A68">
              <w:rPr>
                <w:webHidden/>
              </w:rPr>
              <w:fldChar w:fldCharType="separate"/>
            </w:r>
            <w:r w:rsidR="005F4A68">
              <w:rPr>
                <w:rStyle w:val="Vnculodendice"/>
              </w:rPr>
              <w:tab/>
              <w:t>2</w:t>
            </w:r>
            <w:r w:rsidR="005F4A68">
              <w:rPr>
                <w:webHidden/>
              </w:rPr>
              <w:fldChar w:fldCharType="end"/>
            </w:r>
          </w:hyperlink>
        </w:p>
        <w:p w14:paraId="3AA7E78C" w14:textId="77777777" w:rsidR="003436BC" w:rsidRDefault="00707A5C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hyperlink w:anchor="_Toc341914">
            <w:r w:rsidR="005F4A68">
              <w:rPr>
                <w:rStyle w:val="Vnculodendice"/>
                <w:rFonts w:cstheme="minorHAnsi"/>
                <w:b/>
                <w:webHidden/>
                <w:highlight w:val="lightGray"/>
              </w:rPr>
              <w:t>3.</w:t>
            </w:r>
            <w:r w:rsidR="005F4A68">
              <w:rPr>
                <w:rStyle w:val="Vnculodendice"/>
                <w:rFonts w:eastAsiaTheme="minorEastAsia"/>
                <w:lang w:eastAsia="pt-BR"/>
              </w:rPr>
              <w:tab/>
            </w:r>
            <w:r w:rsidR="005F4A68">
              <w:rPr>
                <w:rStyle w:val="Vnculodendice"/>
                <w:rFonts w:cstheme="minorHAnsi"/>
                <w:b/>
                <w:highlight w:val="lightGray"/>
              </w:rPr>
              <w:t>DAS ESPECIFICAÇÕES E QUANTIDADES</w:t>
            </w:r>
            <w:r w:rsidR="005F4A68">
              <w:rPr>
                <w:webHidden/>
              </w:rPr>
              <w:fldChar w:fldCharType="begin"/>
            </w:r>
            <w:r w:rsidR="005F4A68">
              <w:rPr>
                <w:webHidden/>
              </w:rPr>
              <w:instrText>PAGEREF _Toc341914 \h</w:instrText>
            </w:r>
            <w:r w:rsidR="005F4A68">
              <w:rPr>
                <w:webHidden/>
              </w:rPr>
            </w:r>
            <w:r w:rsidR="005F4A68">
              <w:rPr>
                <w:webHidden/>
              </w:rPr>
              <w:fldChar w:fldCharType="separate"/>
            </w:r>
            <w:r w:rsidR="005F4A68">
              <w:rPr>
                <w:rStyle w:val="Vnculodendice"/>
              </w:rPr>
              <w:tab/>
              <w:t>3</w:t>
            </w:r>
            <w:r w:rsidR="005F4A68">
              <w:rPr>
                <w:webHidden/>
              </w:rPr>
              <w:fldChar w:fldCharType="end"/>
            </w:r>
          </w:hyperlink>
        </w:p>
        <w:p w14:paraId="566ABD26" w14:textId="77777777" w:rsidR="003436BC" w:rsidRDefault="00707A5C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hyperlink w:anchor="_Toc341915">
            <w:r w:rsidR="005F4A68">
              <w:rPr>
                <w:rStyle w:val="Vnculodendice"/>
                <w:rFonts w:cstheme="minorHAnsi"/>
                <w:b/>
                <w:webHidden/>
                <w:highlight w:val="lightGray"/>
              </w:rPr>
              <w:t>4.</w:t>
            </w:r>
            <w:r w:rsidR="005F4A68">
              <w:rPr>
                <w:rStyle w:val="Vnculodendice"/>
                <w:rFonts w:eastAsiaTheme="minorEastAsia"/>
                <w:lang w:eastAsia="pt-BR"/>
              </w:rPr>
              <w:tab/>
            </w:r>
            <w:r w:rsidR="005F4A68">
              <w:rPr>
                <w:rStyle w:val="Vnculodendice"/>
                <w:rFonts w:cstheme="minorHAnsi"/>
                <w:b/>
                <w:highlight w:val="lightGray"/>
              </w:rPr>
              <w:t>DO CONTRATO DE ADESÃO</w:t>
            </w:r>
            <w:r w:rsidR="005F4A68">
              <w:rPr>
                <w:webHidden/>
              </w:rPr>
              <w:fldChar w:fldCharType="begin"/>
            </w:r>
            <w:r w:rsidR="005F4A68">
              <w:rPr>
                <w:webHidden/>
              </w:rPr>
              <w:instrText>PAGEREF _Toc341915 \h</w:instrText>
            </w:r>
            <w:r w:rsidR="005F4A68">
              <w:rPr>
                <w:webHidden/>
              </w:rPr>
            </w:r>
            <w:r w:rsidR="005F4A68">
              <w:rPr>
                <w:webHidden/>
              </w:rPr>
              <w:fldChar w:fldCharType="separate"/>
            </w:r>
            <w:r w:rsidR="005F4A68">
              <w:rPr>
                <w:rStyle w:val="Vnculodendice"/>
              </w:rPr>
              <w:tab/>
              <w:t>3</w:t>
            </w:r>
            <w:r w:rsidR="005F4A68">
              <w:rPr>
                <w:webHidden/>
              </w:rPr>
              <w:fldChar w:fldCharType="end"/>
            </w:r>
          </w:hyperlink>
        </w:p>
        <w:p w14:paraId="57E74C18" w14:textId="77777777" w:rsidR="003436BC" w:rsidRDefault="00707A5C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hyperlink w:anchor="_Toc341916">
            <w:r w:rsidR="005F4A68">
              <w:rPr>
                <w:rStyle w:val="Vnculodendice"/>
                <w:rFonts w:cstheme="minorHAnsi"/>
                <w:b/>
                <w:webHidden/>
                <w:highlight w:val="lightGray"/>
              </w:rPr>
              <w:t>5.</w:t>
            </w:r>
            <w:r w:rsidR="005F4A68">
              <w:rPr>
                <w:rStyle w:val="Vnculodendice"/>
                <w:rFonts w:eastAsiaTheme="minorEastAsia"/>
                <w:lang w:eastAsia="pt-BR"/>
              </w:rPr>
              <w:tab/>
            </w:r>
            <w:r w:rsidR="005F4A68">
              <w:rPr>
                <w:rStyle w:val="Vnculodendice"/>
                <w:rFonts w:cstheme="minorHAnsi"/>
                <w:b/>
                <w:highlight w:val="lightGray"/>
              </w:rPr>
              <w:t>DA FONTE DE RECURSOS</w:t>
            </w:r>
            <w:r w:rsidR="005F4A68">
              <w:rPr>
                <w:webHidden/>
              </w:rPr>
              <w:fldChar w:fldCharType="begin"/>
            </w:r>
            <w:r w:rsidR="005F4A68">
              <w:rPr>
                <w:webHidden/>
              </w:rPr>
              <w:instrText>PAGEREF _Toc341916 \h</w:instrText>
            </w:r>
            <w:r w:rsidR="005F4A68">
              <w:rPr>
                <w:webHidden/>
              </w:rPr>
            </w:r>
            <w:r w:rsidR="005F4A68">
              <w:rPr>
                <w:webHidden/>
              </w:rPr>
              <w:fldChar w:fldCharType="separate"/>
            </w:r>
            <w:r w:rsidR="005F4A68">
              <w:rPr>
                <w:rStyle w:val="Vnculodendice"/>
              </w:rPr>
              <w:tab/>
              <w:t>4</w:t>
            </w:r>
            <w:r w:rsidR="005F4A68">
              <w:rPr>
                <w:webHidden/>
              </w:rPr>
              <w:fldChar w:fldCharType="end"/>
            </w:r>
          </w:hyperlink>
        </w:p>
        <w:p w14:paraId="5F5F2722" w14:textId="77777777" w:rsidR="003436BC" w:rsidRDefault="00707A5C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lang w:eastAsia="pt-BR"/>
            </w:rPr>
          </w:pPr>
          <w:hyperlink w:anchor="_Toc341917">
            <w:r w:rsidR="005F4A68">
              <w:rPr>
                <w:rStyle w:val="Vnculodendice"/>
                <w:rFonts w:cstheme="minorHAnsi"/>
                <w:b/>
                <w:webHidden/>
                <w:highlight w:val="lightGray"/>
              </w:rPr>
              <w:t>6.</w:t>
            </w:r>
            <w:r w:rsidR="005F4A68">
              <w:rPr>
                <w:rStyle w:val="Vnculodendice"/>
                <w:rFonts w:eastAsiaTheme="minorEastAsia"/>
                <w:lang w:eastAsia="pt-BR"/>
              </w:rPr>
              <w:tab/>
            </w:r>
            <w:r w:rsidR="005F4A68">
              <w:rPr>
                <w:rStyle w:val="Vnculodendice"/>
                <w:rFonts w:cstheme="minorHAnsi"/>
                <w:b/>
                <w:highlight w:val="lightGray"/>
              </w:rPr>
              <w:t>DA UNIDADE SOLICITANTE</w:t>
            </w:r>
            <w:r w:rsidR="005F4A68">
              <w:rPr>
                <w:webHidden/>
              </w:rPr>
              <w:fldChar w:fldCharType="begin"/>
            </w:r>
            <w:r w:rsidR="005F4A68">
              <w:rPr>
                <w:webHidden/>
              </w:rPr>
              <w:instrText>PAGEREF _Toc341917 \h</w:instrText>
            </w:r>
            <w:r w:rsidR="005F4A68">
              <w:rPr>
                <w:webHidden/>
              </w:rPr>
            </w:r>
            <w:r w:rsidR="005F4A68">
              <w:rPr>
                <w:webHidden/>
              </w:rPr>
              <w:fldChar w:fldCharType="separate"/>
            </w:r>
            <w:r w:rsidR="005F4A68">
              <w:rPr>
                <w:rStyle w:val="Vnculodendice"/>
              </w:rPr>
              <w:tab/>
              <w:t>4</w:t>
            </w:r>
            <w:r w:rsidR="005F4A68">
              <w:rPr>
                <w:webHidden/>
              </w:rPr>
              <w:fldChar w:fldCharType="end"/>
            </w:r>
          </w:hyperlink>
        </w:p>
        <w:p w14:paraId="606D2B33" w14:textId="77777777" w:rsidR="003436BC" w:rsidRDefault="005F4A68">
          <w:pPr>
            <w:rPr>
              <w:rFonts w:cstheme="minorHAnsi"/>
              <w:b/>
              <w:bCs/>
              <w:color w:val="000000" w:themeColor="text1"/>
            </w:rPr>
          </w:pPr>
          <w:r>
            <w:rPr>
              <w:rFonts w:cs="Calibri"/>
              <w:b/>
              <w:bCs/>
            </w:rPr>
            <w:fldChar w:fldCharType="end"/>
          </w:r>
        </w:p>
      </w:sdtContent>
    </w:sdt>
    <w:p w14:paraId="571F3A4A" w14:textId="77777777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0" w:name="_Toc435629032"/>
      <w:bookmarkStart w:id="1" w:name="_Toc341912"/>
      <w:r>
        <w:rPr>
          <w:rFonts w:cstheme="minorHAnsi"/>
          <w:b/>
          <w:color w:val="000000" w:themeColor="text1"/>
          <w:highlight w:val="lightGray"/>
        </w:rPr>
        <w:t>DO OBJETO</w:t>
      </w:r>
      <w:bookmarkEnd w:id="0"/>
      <w:bookmarkEnd w:id="1"/>
    </w:p>
    <w:p w14:paraId="640BFEE6" w14:textId="11291733" w:rsidR="003436BC" w:rsidRDefault="00A4433A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Contratação de renovação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certificado digital do tipo A3,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e-CPF, 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>padrão ICP-Brasil, com validade de 36 meses (3 anos)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52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compatível com Mídia Criptográfica (Token) </w:t>
      </w:r>
      <w:proofErr w:type="spellStart"/>
      <w:r w:rsidR="00452792">
        <w:rPr>
          <w:rFonts w:asciiTheme="minorHAnsi" w:hAnsiTheme="minorHAnsi" w:cstheme="minorHAnsi"/>
          <w:color w:val="000000" w:themeColor="text1"/>
          <w:sz w:val="22"/>
          <w:szCs w:val="22"/>
        </w:rPr>
        <w:t>Safenet</w:t>
      </w:r>
      <w:proofErr w:type="spellEnd"/>
      <w:r w:rsidR="00452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5100/</w:t>
      </w:r>
      <w:r w:rsidR="004527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5110 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 atendimento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à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demanda da Gerência de Licitações da ARSER, para utilização dos servidores da Gerência de Licitação para os devidos fins,</w:t>
      </w:r>
      <w:r w:rsidR="005F4A6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>conforme especificações e condições constantes neste Termo de Referência e tabela a seguir.</w:t>
      </w:r>
    </w:p>
    <w:p w14:paraId="3B3EAB7A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8565" w:type="dxa"/>
        <w:jc w:val="center"/>
        <w:tblLook w:val="04A0" w:firstRow="1" w:lastRow="0" w:firstColumn="1" w:lastColumn="0" w:noHBand="0" w:noVBand="1"/>
      </w:tblPr>
      <w:tblGrid>
        <w:gridCol w:w="2262"/>
        <w:gridCol w:w="1530"/>
        <w:gridCol w:w="1708"/>
        <w:gridCol w:w="1326"/>
        <w:gridCol w:w="1739"/>
      </w:tblGrid>
      <w:tr w:rsidR="003436BC" w14:paraId="3EB6C499" w14:textId="77777777" w:rsidTr="00452792">
        <w:trPr>
          <w:trHeight w:val="286"/>
          <w:jc w:val="center"/>
        </w:trPr>
        <w:tc>
          <w:tcPr>
            <w:tcW w:w="2262" w:type="dxa"/>
            <w:shd w:val="clear" w:color="auto" w:fill="auto"/>
          </w:tcPr>
          <w:p w14:paraId="6E452CB4" w14:textId="77777777" w:rsidR="003436BC" w:rsidRDefault="005F4A68">
            <w:pPr>
              <w:pStyle w:val="Default"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530" w:type="dxa"/>
            <w:shd w:val="clear" w:color="auto" w:fill="auto"/>
          </w:tcPr>
          <w:p w14:paraId="6ED0D6DF" w14:textId="77777777" w:rsidR="003436BC" w:rsidRDefault="005F4A68">
            <w:pPr>
              <w:pStyle w:val="Default"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Setor</w:t>
            </w:r>
          </w:p>
        </w:tc>
        <w:tc>
          <w:tcPr>
            <w:tcW w:w="1708" w:type="dxa"/>
            <w:shd w:val="clear" w:color="auto" w:fill="auto"/>
          </w:tcPr>
          <w:p w14:paraId="5CD00EFD" w14:textId="77777777" w:rsidR="003436BC" w:rsidRDefault="005F4A68">
            <w:pPr>
              <w:pStyle w:val="Default"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1326" w:type="dxa"/>
            <w:shd w:val="clear" w:color="auto" w:fill="auto"/>
          </w:tcPr>
          <w:p w14:paraId="34DBE1FE" w14:textId="77777777" w:rsidR="003436BC" w:rsidRDefault="005F4A68">
            <w:pPr>
              <w:pStyle w:val="Default"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1739" w:type="dxa"/>
            <w:shd w:val="clear" w:color="auto" w:fill="auto"/>
          </w:tcPr>
          <w:p w14:paraId="72799E31" w14:textId="77777777" w:rsidR="003436BC" w:rsidRDefault="005F4A68">
            <w:pPr>
              <w:pStyle w:val="Default"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eastAsia="pt-BR"/>
              </w:rPr>
              <w:t>Tipo de Aquisição</w:t>
            </w:r>
          </w:p>
        </w:tc>
      </w:tr>
      <w:tr w:rsidR="003436BC" w14:paraId="6019B6EA" w14:textId="77777777" w:rsidTr="00452792">
        <w:trPr>
          <w:trHeight w:val="586"/>
          <w:jc w:val="center"/>
        </w:trPr>
        <w:tc>
          <w:tcPr>
            <w:tcW w:w="2262" w:type="dxa"/>
            <w:shd w:val="clear" w:color="auto" w:fill="auto"/>
            <w:vAlign w:val="center"/>
          </w:tcPr>
          <w:p w14:paraId="04A0F2BC" w14:textId="77777777" w:rsidR="003436BC" w:rsidRPr="00452792" w:rsidRDefault="005F4A68" w:rsidP="00452792">
            <w:pPr>
              <w:pStyle w:val="Default"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Bernardina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Maria de Jesus Neta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8CBEE9" w14:textId="77777777" w:rsidR="003436BC" w:rsidRPr="00452792" w:rsidRDefault="005F4A68" w:rsidP="00452792">
            <w:pPr>
              <w:pStyle w:val="Default"/>
              <w:suppressAutoHyphens w:val="0"/>
              <w:spacing w:line="276" w:lineRule="auto"/>
              <w:jc w:val="center"/>
              <w:rPr>
                <w:rFonts w:eastAsia="Times New Roman" w:cstheme="minorHAnsi"/>
                <w:bCs/>
                <w:color w:val="000000" w:themeColor="text1"/>
                <w:lang w:eastAsia="pt-BR"/>
              </w:rPr>
            </w:pPr>
            <w:r w:rsidRPr="00452792"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Gerência de Licitações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B84B55B" w14:textId="77777777" w:rsidR="003436BC" w:rsidRDefault="005F4A68" w:rsidP="00452792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448.899.924-72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D2E2D2F" w14:textId="77777777" w:rsidR="003436BC" w:rsidRDefault="005F4A68" w:rsidP="00452792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06/07/1965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F886F10" w14:textId="2A730A3E" w:rsidR="003436BC" w:rsidRDefault="00A4433A" w:rsidP="00452792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</w:t>
            </w:r>
            <w:r w:rsidR="005F4A68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Certificado</w:t>
            </w:r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A3</w:t>
            </w: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, e-CPF,</w:t>
            </w:r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com validade de 36 meses </w:t>
            </w:r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lastRenderedPageBreak/>
              <w:t xml:space="preserve">compatível com Mídia Criptográfica </w:t>
            </w:r>
            <w:proofErr w:type="spellStart"/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5100/</w:t>
            </w:r>
            <w:r w:rsidR="00452792">
              <w:rPr>
                <w:rFonts w:eastAsia="Times New Roman" w:cstheme="minorHAnsi"/>
                <w:bCs/>
                <w:color w:val="000000" w:themeColor="text1"/>
                <w:lang w:eastAsia="pt-BR"/>
              </w:rPr>
              <w:t>5110</w:t>
            </w: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já existente na ARSER</w:t>
            </w:r>
          </w:p>
        </w:tc>
      </w:tr>
      <w:tr w:rsidR="0056204F" w14:paraId="15DE9839" w14:textId="77777777" w:rsidTr="00452792">
        <w:trPr>
          <w:trHeight w:val="586"/>
          <w:jc w:val="center"/>
        </w:trPr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558B23D2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lastRenderedPageBreak/>
              <w:t>Cristina de Oliveira Barbosa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center"/>
          </w:tcPr>
          <w:p w14:paraId="55EA0FF2" w14:textId="77777777" w:rsidR="0056204F" w:rsidRDefault="0056204F" w:rsidP="0056204F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  <w:vAlign w:val="center"/>
          </w:tcPr>
          <w:p w14:paraId="0F729CE5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384.260.804-72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auto"/>
            <w:vAlign w:val="center"/>
          </w:tcPr>
          <w:p w14:paraId="3AF9B8D6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17/05/1964</w:t>
            </w:r>
          </w:p>
        </w:tc>
        <w:tc>
          <w:tcPr>
            <w:tcW w:w="1739" w:type="dxa"/>
            <w:tcBorders>
              <w:top w:val="nil"/>
            </w:tcBorders>
            <w:shd w:val="clear" w:color="auto" w:fill="auto"/>
            <w:vAlign w:val="center"/>
          </w:tcPr>
          <w:p w14:paraId="1934B3B3" w14:textId="3F3277EB" w:rsidR="0056204F" w:rsidRDefault="0056204F" w:rsidP="0056204F">
            <w:pPr>
              <w:spacing w:after="0" w:line="240" w:lineRule="auto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Certificado A3, e-CPF, com validade de 36 meses compatível com Mídia Criptográfica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5100/5110 já existente na ARSER</w:t>
            </w:r>
          </w:p>
        </w:tc>
      </w:tr>
      <w:tr w:rsidR="0056204F" w14:paraId="33DD3C1E" w14:textId="77777777" w:rsidTr="00452792">
        <w:trPr>
          <w:trHeight w:val="586"/>
          <w:jc w:val="center"/>
        </w:trPr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17826D0B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Divanilda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Guedes de Farias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center"/>
          </w:tcPr>
          <w:p w14:paraId="019E0A87" w14:textId="77777777" w:rsidR="0056204F" w:rsidRDefault="0056204F" w:rsidP="0056204F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  <w:vAlign w:val="center"/>
          </w:tcPr>
          <w:p w14:paraId="2706941E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349.040.264-20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auto"/>
            <w:vAlign w:val="center"/>
          </w:tcPr>
          <w:p w14:paraId="426D09C8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01/05/1963</w:t>
            </w:r>
          </w:p>
        </w:tc>
        <w:tc>
          <w:tcPr>
            <w:tcW w:w="1739" w:type="dxa"/>
            <w:tcBorders>
              <w:top w:val="nil"/>
            </w:tcBorders>
            <w:shd w:val="clear" w:color="auto" w:fill="auto"/>
            <w:vAlign w:val="center"/>
          </w:tcPr>
          <w:p w14:paraId="6C1D1C8D" w14:textId="041F2A89" w:rsidR="0056204F" w:rsidRDefault="0056204F" w:rsidP="0056204F">
            <w:pPr>
              <w:spacing w:after="0" w:line="240" w:lineRule="auto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Certificado A3, e-CPF, com validade de 36 meses compatível com Mídia Criptográfica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5100/5110 já existente na ARSER</w:t>
            </w:r>
          </w:p>
        </w:tc>
      </w:tr>
      <w:tr w:rsidR="0056204F" w14:paraId="5657211C" w14:textId="77777777" w:rsidTr="00452792">
        <w:trPr>
          <w:trHeight w:val="586"/>
          <w:jc w:val="center"/>
        </w:trPr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49581E25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Edsângela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Gabriel Peixoto Bezerra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center"/>
          </w:tcPr>
          <w:p w14:paraId="548943B6" w14:textId="77777777" w:rsidR="0056204F" w:rsidRDefault="0056204F" w:rsidP="0056204F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  <w:vAlign w:val="center"/>
          </w:tcPr>
          <w:p w14:paraId="30F787E4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575.805.294-91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auto"/>
            <w:vAlign w:val="center"/>
          </w:tcPr>
          <w:p w14:paraId="23250973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27/10/1972</w:t>
            </w:r>
          </w:p>
        </w:tc>
        <w:tc>
          <w:tcPr>
            <w:tcW w:w="1739" w:type="dxa"/>
            <w:tcBorders>
              <w:top w:val="nil"/>
            </w:tcBorders>
            <w:shd w:val="clear" w:color="auto" w:fill="auto"/>
            <w:vAlign w:val="center"/>
          </w:tcPr>
          <w:p w14:paraId="113FC437" w14:textId="732850B2" w:rsidR="0056204F" w:rsidRDefault="0056204F" w:rsidP="0056204F">
            <w:pPr>
              <w:spacing w:after="0" w:line="240" w:lineRule="auto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Certificado A3, e-CPF, com validade de 36 meses compatível com Mídia Criptográfica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5100/5110 já existente na ARSER</w:t>
            </w:r>
          </w:p>
        </w:tc>
      </w:tr>
      <w:tr w:rsidR="0056204F" w14:paraId="37DA37B7" w14:textId="77777777" w:rsidTr="00452792">
        <w:trPr>
          <w:trHeight w:val="586"/>
          <w:jc w:val="center"/>
        </w:trPr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679E12AD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Luci Valério de Albuquerque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center"/>
          </w:tcPr>
          <w:p w14:paraId="363F5914" w14:textId="77777777" w:rsidR="0056204F" w:rsidRDefault="0056204F" w:rsidP="0056204F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  <w:vAlign w:val="center"/>
          </w:tcPr>
          <w:p w14:paraId="37493320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376.254.704-15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auto"/>
            <w:vAlign w:val="center"/>
          </w:tcPr>
          <w:p w14:paraId="0E3B2AD2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30/06/1958</w:t>
            </w:r>
          </w:p>
        </w:tc>
        <w:tc>
          <w:tcPr>
            <w:tcW w:w="1739" w:type="dxa"/>
            <w:tcBorders>
              <w:top w:val="nil"/>
            </w:tcBorders>
            <w:shd w:val="clear" w:color="auto" w:fill="auto"/>
            <w:vAlign w:val="center"/>
          </w:tcPr>
          <w:p w14:paraId="0EE665C0" w14:textId="02DE6734" w:rsidR="0056204F" w:rsidRDefault="0056204F" w:rsidP="0056204F">
            <w:pPr>
              <w:spacing w:after="0" w:line="240" w:lineRule="auto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Certificado A3, e-CPF, com validade de 36 </w:t>
            </w: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lastRenderedPageBreak/>
              <w:t xml:space="preserve">meses compatível com Mídia Criptográfica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5100/5110 já existente na ARSER</w:t>
            </w:r>
          </w:p>
        </w:tc>
      </w:tr>
      <w:tr w:rsidR="0056204F" w14:paraId="152963DD" w14:textId="77777777" w:rsidTr="00452792">
        <w:trPr>
          <w:trHeight w:val="586"/>
          <w:jc w:val="center"/>
        </w:trPr>
        <w:tc>
          <w:tcPr>
            <w:tcW w:w="2262" w:type="dxa"/>
            <w:tcBorders>
              <w:top w:val="nil"/>
            </w:tcBorders>
            <w:shd w:val="clear" w:color="auto" w:fill="auto"/>
            <w:vAlign w:val="center"/>
          </w:tcPr>
          <w:p w14:paraId="49982D77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lastRenderedPageBreak/>
              <w:t>Sâmmara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 xml:space="preserve"> Cardoso Lira de Almeida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vAlign w:val="center"/>
          </w:tcPr>
          <w:p w14:paraId="6E14FABB" w14:textId="77777777" w:rsidR="0056204F" w:rsidRDefault="0056204F" w:rsidP="0056204F">
            <w:pPr>
              <w:spacing w:after="0" w:line="240" w:lineRule="auto"/>
              <w:jc w:val="center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Gerência de Licitações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  <w:vAlign w:val="center"/>
          </w:tcPr>
          <w:p w14:paraId="35E3C33B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043.907.774-59</w:t>
            </w:r>
          </w:p>
        </w:tc>
        <w:tc>
          <w:tcPr>
            <w:tcW w:w="1326" w:type="dxa"/>
            <w:tcBorders>
              <w:top w:val="nil"/>
            </w:tcBorders>
            <w:shd w:val="clear" w:color="auto" w:fill="auto"/>
            <w:vAlign w:val="center"/>
          </w:tcPr>
          <w:p w14:paraId="7DC58C77" w14:textId="77777777" w:rsidR="0056204F" w:rsidRDefault="0056204F" w:rsidP="0056204F">
            <w:pPr>
              <w:pStyle w:val="Default"/>
              <w:suppressAutoHyphens w:val="0"/>
              <w:spacing w:line="276" w:lineRule="auto"/>
              <w:jc w:val="center"/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2"/>
                <w:szCs w:val="22"/>
                <w:lang w:eastAsia="pt-BR"/>
              </w:rPr>
              <w:t>02/11/1982</w:t>
            </w:r>
          </w:p>
        </w:tc>
        <w:tc>
          <w:tcPr>
            <w:tcW w:w="1739" w:type="dxa"/>
            <w:tcBorders>
              <w:top w:val="nil"/>
            </w:tcBorders>
            <w:shd w:val="clear" w:color="auto" w:fill="auto"/>
            <w:vAlign w:val="center"/>
          </w:tcPr>
          <w:p w14:paraId="1EAAAFDD" w14:textId="776C94BF" w:rsidR="0056204F" w:rsidRDefault="0056204F" w:rsidP="0056204F">
            <w:pPr>
              <w:spacing w:after="0" w:line="240" w:lineRule="auto"/>
            </w:pPr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Renovação de Certificado A3, e-CPF, com validade de 36 meses compatível com Mídia Criptográfica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>Safenet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lang w:eastAsia="pt-BR"/>
              </w:rPr>
              <w:t xml:space="preserve"> 5100/5110 já existente na ARSER</w:t>
            </w:r>
          </w:p>
        </w:tc>
      </w:tr>
    </w:tbl>
    <w:p w14:paraId="6FE8E010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53E8AA4A" w14:textId="77777777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2" w:name="_Toc435629033"/>
      <w:bookmarkStart w:id="3" w:name="_Toc341913"/>
      <w:r>
        <w:rPr>
          <w:rFonts w:cstheme="minorHAnsi"/>
          <w:b/>
          <w:color w:val="000000" w:themeColor="text1"/>
          <w:highlight w:val="lightGray"/>
        </w:rPr>
        <w:t>DA JUSTIFICATIVA</w:t>
      </w:r>
      <w:bookmarkEnd w:id="2"/>
      <w:bookmarkEnd w:id="3"/>
    </w:p>
    <w:p w14:paraId="1FD9C90E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O</w:t>
      </w:r>
      <w:r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bCs/>
          <w:color w:val="222222"/>
          <w:sz w:val="22"/>
          <w:szCs w:val="22"/>
          <w:shd w:val="clear" w:color="auto" w:fill="FFFFFF"/>
        </w:rPr>
        <w:t>Certificado Digital</w:t>
      </w:r>
      <w:r>
        <w:rPr>
          <w:rStyle w:val="apple-converted-space"/>
          <w:rFonts w:asciiTheme="minorHAnsi" w:hAnsiTheme="minorHAnsi"/>
          <w:color w:val="222222"/>
          <w:sz w:val="22"/>
          <w:szCs w:val="22"/>
          <w:shd w:val="clear" w:color="auto" w:fill="FFFFFF"/>
        </w:rPr>
        <w:t> 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é uma assinatura com validade jurídica que garante proteção às transações eletrônicas e outros serviços via internet, permitindo que pessoas e empresas se identifiquem e assinem digitalmente de qualquer lugar do mundo com mais segurança e agilidade.</w:t>
      </w:r>
    </w:p>
    <w:p w14:paraId="0102CE58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B2B88B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 utilização da certificação digital atualmente é uma ferramenta importante para assegurar a inviolabilidade das transações eletrônicas. As instituições governamentais após a implantação do projeto de governo eletrônico, no qual os serviços são disponibilizados aos cidadãos pela Internet, devem garantir que as informações que trafegam pela sua rede são seguras e que as informações armazenadas em seus bancos de dados não serão furtadas nem violadas.</w:t>
      </w:r>
    </w:p>
    <w:p w14:paraId="74A5F49B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A5C3B0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Tal solução estabelece uma padronização com todos os órgãos governamentais, já que os certificados seguem o padrão da ICP Brasil (Infraestrutura de chaves públicas, para um sistema criptográfico com base em certificados digitais), utilizado por várias instituições.</w:t>
      </w:r>
    </w:p>
    <w:p w14:paraId="7B5107A2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9EC3BD" w14:textId="0D600B04" w:rsidR="003436BC" w:rsidRDefault="00384FBA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Ademais, ao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disponibiliz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ar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uma solução de segurança que possa garantir ao usuário que suas transações não serão violadas por atos de natureza exploratória ou criminosa, estaremos eliminando o risco e aumentando a eficiência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 confiabilidade dos atos da Agência</w:t>
      </w:r>
      <w:r w:rsidR="005F4A6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4FD30C" w14:textId="77777777" w:rsidR="00384FBA" w:rsidRDefault="00384FBA" w:rsidP="00384FBA">
      <w:pPr>
        <w:pStyle w:val="ListParagraph"/>
        <w:rPr>
          <w:rFonts w:cstheme="minorHAnsi"/>
          <w:color w:val="000000" w:themeColor="text1"/>
        </w:rPr>
      </w:pPr>
    </w:p>
    <w:p w14:paraId="56601AD8" w14:textId="3FF2C61B" w:rsidR="00384FBA" w:rsidRDefault="00384FBA" w:rsidP="00384FBA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Noutra banda, o Certificado Digital é necessário para acesso aos mais diversos sistemas do Governo Federal, incluindo o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Comprasnet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/SIASG, o qual é utilizado por esta Agência para realização de licitações, uma de suas mais importantes atividades institucionais.</w:t>
      </w:r>
    </w:p>
    <w:p w14:paraId="1F150D57" w14:textId="77777777" w:rsidR="00384FBA" w:rsidRDefault="00384FBA" w:rsidP="00384FBA">
      <w:pPr>
        <w:pStyle w:val="ListParagraph"/>
        <w:rPr>
          <w:rFonts w:cstheme="minorHAnsi"/>
          <w:color w:val="000000" w:themeColor="text1"/>
        </w:rPr>
      </w:pPr>
    </w:p>
    <w:p w14:paraId="21037393" w14:textId="0FE5DD3F" w:rsidR="00384FBA" w:rsidRDefault="00384FBA" w:rsidP="00384FBA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Dada a essencialidade dos certificados digitais para o desempenho das atividades da Gerência de Licitações, em levantamento recente feito pela Gerência de Tecnologia da Informação foi constatada a necessidade de renovação de 6 certificados digitais pertencentes a servidores da Gerência de Licitações</w:t>
      </w:r>
      <w:r w:rsidR="006838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 que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vencerão no final deste ano de 2020.</w:t>
      </w:r>
    </w:p>
    <w:p w14:paraId="40B9C1D6" w14:textId="77777777" w:rsidR="00384FBA" w:rsidRDefault="00384FBA" w:rsidP="00384FBA">
      <w:pPr>
        <w:pStyle w:val="ListParagraph"/>
        <w:rPr>
          <w:rFonts w:cstheme="minorHAnsi"/>
          <w:color w:val="000000" w:themeColor="text1"/>
        </w:rPr>
      </w:pPr>
    </w:p>
    <w:p w14:paraId="3B65855B" w14:textId="0F572310" w:rsidR="00384FBA" w:rsidRPr="00384FBA" w:rsidRDefault="00384FBA" w:rsidP="00384FBA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Considerando, portanto, a necessidade de tal mídia para desempenho das atividades institucionais é necessária a aquisição de 6 renovações de certificados digitais do tipo A3, </w:t>
      </w:r>
      <w:r w:rsidR="00683804">
        <w:rPr>
          <w:rFonts w:asciiTheme="minorHAnsi" w:hAnsiTheme="minorHAnsi" w:cstheme="minorHAnsi"/>
          <w:color w:val="000000" w:themeColor="text1"/>
          <w:sz w:val="22"/>
          <w:szCs w:val="22"/>
        </w:rPr>
        <w:t>com validade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3 anos, sem a necessidade de mídia criptográfica, uma vez que essas já existem na Agência.</w:t>
      </w:r>
    </w:p>
    <w:p w14:paraId="5BC82D75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2984CED3" w14:textId="77777777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4" w:name="_Toc435629034"/>
      <w:bookmarkStart w:id="5" w:name="_Toc341914"/>
      <w:r>
        <w:rPr>
          <w:rFonts w:cstheme="minorHAnsi"/>
          <w:b/>
          <w:color w:val="000000" w:themeColor="text1"/>
          <w:highlight w:val="lightGray"/>
        </w:rPr>
        <w:t>DAS ESPECIFICAÇÕES E QUANTIDADES</w:t>
      </w:r>
      <w:bookmarkEnd w:id="4"/>
      <w:bookmarkEnd w:id="5"/>
    </w:p>
    <w:p w14:paraId="66FF4F04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tbl>
      <w:tblPr>
        <w:tblW w:w="8267" w:type="dxa"/>
        <w:tblLook w:val="04A0" w:firstRow="1" w:lastRow="0" w:firstColumn="1" w:lastColumn="0" w:noHBand="0" w:noVBand="1"/>
      </w:tblPr>
      <w:tblGrid>
        <w:gridCol w:w="684"/>
        <w:gridCol w:w="5803"/>
        <w:gridCol w:w="783"/>
        <w:gridCol w:w="997"/>
      </w:tblGrid>
      <w:tr w:rsidR="003436BC" w14:paraId="07CBFC27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288A" w14:textId="77777777" w:rsidR="003436BC" w:rsidRDefault="005F4A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ITEM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190A" w14:textId="77777777" w:rsidR="003436BC" w:rsidRDefault="005F4A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DESCRIÇÃO DO PRODUTO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C657A" w14:textId="77777777" w:rsidR="003436BC" w:rsidRDefault="005F4A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UND.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DF925" w14:textId="77777777" w:rsidR="003436BC" w:rsidRDefault="005F4A68">
            <w:pPr>
              <w:spacing w:line="360" w:lineRule="auto"/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QUANT</w:t>
            </w:r>
          </w:p>
        </w:tc>
      </w:tr>
      <w:tr w:rsidR="003436BC" w14:paraId="5632D96C" w14:textId="7777777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1373" w14:textId="77777777" w:rsidR="003436BC" w:rsidRDefault="005F4A68">
            <w:pPr>
              <w:spacing w:line="36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EDDA" w14:textId="54FF1B92" w:rsidR="003436BC" w:rsidRDefault="005F4A68">
            <w:pPr>
              <w:spacing w:before="60" w:after="60" w:line="360" w:lineRule="auto"/>
              <w:jc w:val="both"/>
            </w:pPr>
            <w:r>
              <w:rPr>
                <w:rFonts w:cstheme="minorHAnsi"/>
                <w:b/>
                <w:color w:val="000000" w:themeColor="text1"/>
              </w:rPr>
              <w:t>Aquisição</w:t>
            </w:r>
            <w:r w:rsidR="00384FBA">
              <w:rPr>
                <w:rFonts w:cstheme="minorHAnsi"/>
                <w:b/>
                <w:color w:val="000000" w:themeColor="text1"/>
              </w:rPr>
              <w:t xml:space="preserve"> de Renovação</w:t>
            </w:r>
            <w:r>
              <w:rPr>
                <w:rFonts w:cstheme="minorHAnsi"/>
                <w:b/>
                <w:color w:val="000000" w:themeColor="text1"/>
              </w:rPr>
              <w:t xml:space="preserve"> de Certificado Digital </w:t>
            </w:r>
          </w:p>
          <w:p w14:paraId="4A0CC48C" w14:textId="77777777" w:rsidR="003436BC" w:rsidRDefault="005F4A68">
            <w:pPr>
              <w:spacing w:after="6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t>Tipo: e-CPF</w:t>
            </w:r>
          </w:p>
          <w:p w14:paraId="66DD0E8A" w14:textId="77777777" w:rsidR="003436BC" w:rsidRDefault="005F4A68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Nível: A3</w:t>
            </w:r>
          </w:p>
          <w:p w14:paraId="4983C29D" w14:textId="0B6E7984" w:rsidR="003436BC" w:rsidRDefault="005F4A68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Validade de 03 (três) anos</w:t>
            </w:r>
          </w:p>
          <w:p w14:paraId="28388483" w14:textId="6A05F81F" w:rsidR="00384FBA" w:rsidRDefault="00384FBA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Compatível com mídias criptográficas </w:t>
            </w:r>
            <w:proofErr w:type="spellStart"/>
            <w:r>
              <w:rPr>
                <w:rFonts w:cstheme="minorHAnsi"/>
                <w:color w:val="000000" w:themeColor="text1"/>
              </w:rPr>
              <w:t>Safenet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5100/5110 já existentes na ARSER.</w:t>
            </w:r>
          </w:p>
          <w:p w14:paraId="5ECDCBE3" w14:textId="37351B8B" w:rsidR="003436BC" w:rsidRDefault="005F4A68">
            <w:pPr>
              <w:spacing w:before="60" w:after="60" w:line="36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Posto de atendimento para </w:t>
            </w:r>
            <w:r w:rsidR="00384FBA">
              <w:rPr>
                <w:rFonts w:cstheme="minorHAnsi"/>
                <w:color w:val="000000" w:themeColor="text1"/>
              </w:rPr>
              <w:t>renovação</w:t>
            </w:r>
            <w:r>
              <w:rPr>
                <w:rFonts w:cstheme="minorHAnsi"/>
                <w:color w:val="000000" w:themeColor="text1"/>
              </w:rPr>
              <w:t xml:space="preserve"> presencial em Maceió </w:t>
            </w:r>
            <w:r w:rsidR="00384FBA">
              <w:rPr>
                <w:rFonts w:cstheme="minorHAnsi"/>
                <w:color w:val="000000" w:themeColor="text1"/>
              </w:rPr>
              <w:t>ou disponibilidade de renovação online.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AEEA" w14:textId="77777777" w:rsidR="003436BC" w:rsidRDefault="005F4A68">
            <w:pPr>
              <w:spacing w:before="60" w:after="60" w:line="360" w:lineRule="auto"/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Und</w:t>
            </w:r>
            <w:proofErr w:type="spellEnd"/>
            <w:r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0C9E" w14:textId="38BA1DB9" w:rsidR="003436BC" w:rsidRDefault="00384FBA">
            <w:pPr>
              <w:snapToGrid w:val="0"/>
              <w:spacing w:line="360" w:lineRule="auto"/>
              <w:jc w:val="center"/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</w:tr>
    </w:tbl>
    <w:p w14:paraId="77CBDDC5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6307D117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3DED4961" w14:textId="77777777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6" w:name="_Toc341915"/>
      <w:r>
        <w:rPr>
          <w:rFonts w:cstheme="minorHAnsi"/>
          <w:b/>
          <w:color w:val="000000" w:themeColor="text1"/>
          <w:highlight w:val="lightGray"/>
        </w:rPr>
        <w:t>DO CONTRATO DE ADESÃO</w:t>
      </w:r>
      <w:bookmarkEnd w:id="6"/>
    </w:p>
    <w:p w14:paraId="5324E8E7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4A07B784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É um contrato redigido somente pelo fornecedor, sem que o consumidor possa discutir ou modificar substancialmente seu conteúdo.</w:t>
      </w:r>
    </w:p>
    <w:p w14:paraId="25181560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489FCD" w14:textId="6494CCAE" w:rsidR="008B3BAC" w:rsidRPr="008B3BAC" w:rsidRDefault="008B3BAC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70D5">
        <w:rPr>
          <w:rFonts w:asciiTheme="minorHAnsi" w:hAnsiTheme="minorHAnsi" w:cstheme="minorHAnsi"/>
          <w:color w:val="000000" w:themeColor="text1"/>
          <w:sz w:val="22"/>
          <w:szCs w:val="22"/>
        </w:rPr>
        <w:t>As empresas certificadoras não apresentam opção de pagamento por Nota de Empenho, apenas boleto bancário e cartão de crédito.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Essa modalidade ocorre apenas em caso de contratação com certificadora privada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E276917" w14:textId="77777777" w:rsidR="008B3BAC" w:rsidRDefault="008B3BAC" w:rsidP="008B3BAC">
      <w:pPr>
        <w:pStyle w:val="ListParagraph"/>
        <w:rPr>
          <w:rFonts w:cstheme="minorHAnsi"/>
        </w:rPr>
      </w:pPr>
    </w:p>
    <w:p w14:paraId="27F8D639" w14:textId="506BDEA1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critério utilizado no julgamento das propostas será o menor preço por item.</w:t>
      </w:r>
    </w:p>
    <w:p w14:paraId="103F1417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F25F7D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 processo de compra no site deve ser feito em conjunto entre o requerente e um responsável do setor financeiro, uma vez que deverão ser informados dados pessoais, dados da empresa solicitante, além do pagamento e posterior agendamento da etapa presencial.</w:t>
      </w:r>
    </w:p>
    <w:p w14:paraId="134633E7" w14:textId="77777777" w:rsidR="003436BC" w:rsidRDefault="003436BC">
      <w:pPr>
        <w:pStyle w:val="Default"/>
        <w:suppressAutoHyphens w:val="0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41D134" w14:textId="16A81E12" w:rsidR="003436BC" w:rsidRPr="008B3BA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As principais empresas certificadoras estão listadas no site oficial da ICP Brasil.</w:t>
      </w:r>
    </w:p>
    <w:p w14:paraId="0256ADFC" w14:textId="77777777" w:rsidR="008B3BAC" w:rsidRDefault="008B3BAC" w:rsidP="008B3BAC">
      <w:pPr>
        <w:pStyle w:val="ListParagraph"/>
      </w:pPr>
    </w:p>
    <w:p w14:paraId="4A96480B" w14:textId="525D43CF" w:rsidR="008B3BAC" w:rsidRDefault="008B3BAC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Por sem compra com entrega imediata, fica dispensável o termo de contrato, conforme o </w:t>
      </w:r>
      <w:proofErr w:type="spellStart"/>
      <w:r>
        <w:rPr>
          <w:rFonts w:asciiTheme="minorHAnsi" w:hAnsiTheme="minorHAnsi" w:cstheme="minorHAnsi"/>
          <w:color w:val="222222"/>
          <w:sz w:val="22"/>
          <w:szCs w:val="22"/>
        </w:rPr>
        <w:t>Art</w:t>
      </w:r>
      <w:proofErr w:type="spellEnd"/>
      <w:r>
        <w:rPr>
          <w:rFonts w:asciiTheme="minorHAnsi" w:hAnsiTheme="minorHAnsi" w:cstheme="minorHAnsi"/>
          <w:color w:val="222222"/>
          <w:sz w:val="22"/>
          <w:szCs w:val="22"/>
        </w:rPr>
        <w:t xml:space="preserve"> 62,</w:t>
      </w:r>
      <w:r w:rsidRPr="00CE34DC">
        <w:rPr>
          <w:rFonts w:asciiTheme="minorHAnsi" w:hAnsiTheme="minorHAnsi" w:cstheme="minorHAnsi"/>
          <w:color w:val="000000" w:themeColor="text1"/>
          <w:sz w:val="22"/>
          <w:szCs w:val="22"/>
        </w:rPr>
        <w:t>§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4º da Lei 8666/93.</w:t>
      </w:r>
    </w:p>
    <w:p w14:paraId="797C31E3" w14:textId="77777777" w:rsidR="008B3BAC" w:rsidRDefault="008B3BAC">
      <w:pPr>
        <w:spacing w:line="360" w:lineRule="auto"/>
        <w:rPr>
          <w:rFonts w:cstheme="minorHAnsi"/>
          <w:color w:val="000000" w:themeColor="text1"/>
        </w:rPr>
      </w:pPr>
    </w:p>
    <w:p w14:paraId="1845D614" w14:textId="686159DF" w:rsidR="008B3BAC" w:rsidRDefault="008B3BAC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7" w:name="_Toc341916"/>
      <w:r>
        <w:rPr>
          <w:rFonts w:cstheme="minorHAnsi"/>
          <w:b/>
          <w:color w:val="000000" w:themeColor="text1"/>
          <w:highlight w:val="lightGray"/>
        </w:rPr>
        <w:t>DO PRAZO DE EMISSÃO</w:t>
      </w:r>
    </w:p>
    <w:p w14:paraId="79C1B6EB" w14:textId="2C3330A5" w:rsidR="008B3BAC" w:rsidRPr="008B3BAC" w:rsidRDefault="008B3BAC" w:rsidP="008B3BAC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</w:pPr>
      <w:r w:rsidRPr="00CE50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prazo de emissão</w:t>
      </w:r>
      <w:r w:rsidRPr="00CE505A">
        <w:rPr>
          <w:rFonts w:asciiTheme="minorHAnsi" w:hAnsiTheme="minorHAnsi" w:cstheme="minorHAnsi"/>
          <w:sz w:val="22"/>
          <w:szCs w:val="22"/>
        </w:rPr>
        <w:t xml:space="preserve"> será de, no máximo,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E505A">
        <w:rPr>
          <w:rFonts w:asciiTheme="minorHAnsi" w:hAnsiTheme="minorHAnsi" w:cstheme="minorHAnsi"/>
          <w:b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</w:rPr>
        <w:t>cinco</w:t>
      </w:r>
      <w:r w:rsidRPr="00CE505A">
        <w:rPr>
          <w:rFonts w:asciiTheme="minorHAnsi" w:hAnsiTheme="minorHAnsi" w:cstheme="minorHAnsi"/>
          <w:b/>
          <w:sz w:val="22"/>
          <w:szCs w:val="22"/>
        </w:rPr>
        <w:t>) dias corridos</w:t>
      </w:r>
      <w:r w:rsidRPr="00CE505A">
        <w:rPr>
          <w:rFonts w:asciiTheme="minorHAnsi" w:hAnsiTheme="minorHAnsi" w:cstheme="minorHAnsi"/>
          <w:sz w:val="22"/>
          <w:szCs w:val="22"/>
        </w:rPr>
        <w:t xml:space="preserve">, contados </w:t>
      </w:r>
      <w:r>
        <w:rPr>
          <w:rFonts w:asciiTheme="minorHAnsi" w:hAnsiTheme="minorHAnsi" w:cstheme="minorHAnsi"/>
          <w:sz w:val="22"/>
          <w:szCs w:val="22"/>
        </w:rPr>
        <w:t>a partir do recebimento do pagamento do boleto bancário e/ou recebimento da nota de empenho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B0A8F0B" w14:textId="77777777" w:rsidR="008B3BAC" w:rsidRPr="008B3BAC" w:rsidRDefault="008B3BAC" w:rsidP="008B3BAC">
      <w:pPr>
        <w:pStyle w:val="Default"/>
        <w:suppressAutoHyphens w:val="0"/>
        <w:spacing w:line="360" w:lineRule="auto"/>
        <w:jc w:val="both"/>
      </w:pPr>
    </w:p>
    <w:p w14:paraId="373D4FAC" w14:textId="6182B681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t>DA FONTE DE RECURSOS</w:t>
      </w:r>
      <w:bookmarkEnd w:id="7"/>
    </w:p>
    <w:p w14:paraId="46264A1C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Os recursos orçamentários e financeiros serão provenientes de recursos próprios.</w:t>
      </w:r>
    </w:p>
    <w:p w14:paraId="45F5EFBC" w14:textId="77777777" w:rsidR="003436BC" w:rsidRDefault="003436B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555BB9D8" w14:textId="1338AB45" w:rsidR="008B3BAC" w:rsidRDefault="008B3BAC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bookmarkStart w:id="8" w:name="_Toc341917"/>
      <w:r>
        <w:rPr>
          <w:rFonts w:cstheme="minorHAnsi"/>
          <w:b/>
          <w:color w:val="000000" w:themeColor="text1"/>
          <w:highlight w:val="lightGray"/>
        </w:rPr>
        <w:lastRenderedPageBreak/>
        <w:t>DO PAGAMENTO</w:t>
      </w:r>
    </w:p>
    <w:p w14:paraId="7C19109E" w14:textId="27FD9C18" w:rsidR="008B3BAC" w:rsidRDefault="008B3BAC" w:rsidP="008B3BAC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4031">
        <w:rPr>
          <w:rFonts w:asciiTheme="minorHAnsi" w:hAnsiTheme="minorHAnsi" w:cstheme="minorHAnsi"/>
          <w:sz w:val="22"/>
          <w:szCs w:val="22"/>
        </w:rPr>
        <w:t xml:space="preserve">O pagamento do objeto ocorrerá em até 05(cinco) dias úteis contados da entrega </w:t>
      </w:r>
      <w:r>
        <w:rPr>
          <w:rFonts w:asciiTheme="minorHAnsi" w:hAnsiTheme="minorHAnsi" w:cstheme="minorHAnsi"/>
          <w:sz w:val="22"/>
          <w:szCs w:val="22"/>
        </w:rPr>
        <w:t xml:space="preserve">do boleto bancário e/ou </w:t>
      </w:r>
      <w:r w:rsidRPr="00574031">
        <w:rPr>
          <w:rFonts w:asciiTheme="minorHAnsi" w:hAnsiTheme="minorHAnsi" w:cstheme="minorHAnsi"/>
          <w:sz w:val="22"/>
          <w:szCs w:val="22"/>
        </w:rPr>
        <w:t>da nota fiscal ou fatura e consequente formalização do recebimento do objeto, mediante crédito em conta corrente</w:t>
      </w:r>
      <w:r>
        <w:rPr>
          <w:rFonts w:asciiTheme="minorHAnsi" w:hAnsiTheme="minorHAnsi" w:cstheme="minorHAnsi"/>
          <w:sz w:val="22"/>
          <w:szCs w:val="22"/>
        </w:rPr>
        <w:t xml:space="preserve"> ou pagamento do boleto bancário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00F4113" w14:textId="77777777" w:rsidR="008B3BAC" w:rsidRDefault="008B3BAC" w:rsidP="008B3BAC">
      <w:pPr>
        <w:pStyle w:val="ListParagraph"/>
        <w:tabs>
          <w:tab w:val="left" w:pos="284"/>
        </w:tabs>
        <w:spacing w:line="360" w:lineRule="auto"/>
        <w:ind w:left="360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</w:p>
    <w:p w14:paraId="06FAD7CA" w14:textId="42DDE309" w:rsidR="003436BC" w:rsidRDefault="005F4A68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jc w:val="both"/>
        <w:outlineLvl w:val="0"/>
        <w:rPr>
          <w:rFonts w:cstheme="minorHAnsi"/>
          <w:b/>
          <w:color w:val="000000" w:themeColor="text1"/>
          <w:highlight w:val="lightGray"/>
        </w:rPr>
      </w:pPr>
      <w:r>
        <w:rPr>
          <w:rFonts w:cstheme="minorHAnsi"/>
          <w:b/>
          <w:color w:val="000000" w:themeColor="text1"/>
          <w:highlight w:val="lightGray"/>
        </w:rPr>
        <w:t>DA UNIDADE SOLICITANTE</w:t>
      </w:r>
      <w:bookmarkEnd w:id="8"/>
    </w:p>
    <w:p w14:paraId="603527B7" w14:textId="77777777" w:rsidR="003436BC" w:rsidRDefault="005F4A68">
      <w:pPr>
        <w:pStyle w:val="Default"/>
        <w:numPr>
          <w:ilvl w:val="1"/>
          <w:numId w:val="1"/>
        </w:numP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Gerência de Tecnologia da Informação.</w:t>
      </w:r>
    </w:p>
    <w:p w14:paraId="72416E52" w14:textId="77777777" w:rsidR="003436BC" w:rsidRDefault="003436BC">
      <w:pPr>
        <w:tabs>
          <w:tab w:val="left" w:pos="284"/>
        </w:tabs>
        <w:jc w:val="both"/>
        <w:outlineLvl w:val="0"/>
        <w:rPr>
          <w:rFonts w:cstheme="minorHAnsi"/>
          <w:b/>
          <w:color w:val="000000" w:themeColor="text1"/>
        </w:rPr>
      </w:pPr>
    </w:p>
    <w:p w14:paraId="53322DA2" w14:textId="2137BBE9" w:rsidR="003436BC" w:rsidRDefault="005F4A68">
      <w:pPr>
        <w:jc w:val="center"/>
      </w:pPr>
      <w:r>
        <w:rPr>
          <w:rFonts w:cstheme="minorHAnsi"/>
          <w:color w:val="000000" w:themeColor="text1"/>
        </w:rPr>
        <w:t xml:space="preserve">Maceió (AL), </w:t>
      </w:r>
      <w:r w:rsidR="00683804">
        <w:rPr>
          <w:rFonts w:cstheme="minorHAnsi"/>
          <w:color w:val="000000" w:themeColor="text1"/>
        </w:rPr>
        <w:t xml:space="preserve">04 de Setembro </w:t>
      </w:r>
      <w:r>
        <w:rPr>
          <w:rFonts w:cstheme="minorHAnsi"/>
          <w:color w:val="000000" w:themeColor="text1"/>
        </w:rPr>
        <w:t>de 2020.</w:t>
      </w:r>
    </w:p>
    <w:p w14:paraId="470D84C8" w14:textId="77777777" w:rsidR="003436BC" w:rsidRDefault="003436BC">
      <w:pPr>
        <w:sectPr w:rsidR="003436BC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20"/>
          <w:formProt w:val="0"/>
          <w:docGrid w:linePitch="360" w:charSpace="4096"/>
        </w:sectPr>
      </w:pPr>
    </w:p>
    <w:p w14:paraId="6CABB9D4" w14:textId="77777777" w:rsidR="003436BC" w:rsidRDefault="005F4A68">
      <w:pPr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Responsável pela elaboração,</w:t>
      </w:r>
    </w:p>
    <w:p w14:paraId="1304FDAB" w14:textId="77777777" w:rsidR="003436BC" w:rsidRDefault="003436BC">
      <w:pPr>
        <w:pStyle w:val="ListParagraph"/>
        <w:spacing w:after="0" w:line="240" w:lineRule="auto"/>
        <w:ind w:left="0"/>
        <w:jc w:val="center"/>
        <w:rPr>
          <w:rFonts w:cs="Calibri"/>
          <w:sz w:val="20"/>
          <w:szCs w:val="20"/>
        </w:rPr>
      </w:pPr>
    </w:p>
    <w:p w14:paraId="41844224" w14:textId="77777777" w:rsidR="003436BC" w:rsidRDefault="003436BC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</w:p>
    <w:p w14:paraId="09EA41B0" w14:textId="77777777" w:rsidR="003436BC" w:rsidRDefault="005F4A68">
      <w:pPr>
        <w:pStyle w:val="NoSpacing"/>
        <w:jc w:val="center"/>
        <w:rPr>
          <w:b/>
        </w:rPr>
      </w:pPr>
      <w:r>
        <w:rPr>
          <w:b/>
        </w:rPr>
        <w:t xml:space="preserve">Thiago </w:t>
      </w:r>
      <w:proofErr w:type="spellStart"/>
      <w:r>
        <w:rPr>
          <w:b/>
        </w:rPr>
        <w:t>Goes</w:t>
      </w:r>
      <w:proofErr w:type="spellEnd"/>
      <w:r>
        <w:rPr>
          <w:b/>
        </w:rPr>
        <w:t xml:space="preserve"> de Melo Costa</w:t>
      </w:r>
    </w:p>
    <w:p w14:paraId="7AE6B1E9" w14:textId="77777777" w:rsidR="003436BC" w:rsidRDefault="005F4A68">
      <w:pPr>
        <w:pStyle w:val="NoSpacing"/>
        <w:jc w:val="center"/>
      </w:pPr>
      <w:r>
        <w:t>Gerência de Tecnologia da Informação</w:t>
      </w:r>
    </w:p>
    <w:p w14:paraId="7F442197" w14:textId="77777777" w:rsidR="003436BC" w:rsidRDefault="005F4A68">
      <w:pPr>
        <w:pStyle w:val="NoSpacing"/>
        <w:jc w:val="center"/>
      </w:pPr>
      <w:r>
        <w:rPr>
          <w:rFonts w:eastAsia="Times New Roman"/>
        </w:rPr>
        <w:t>Matrícula 951929-7</w:t>
      </w:r>
    </w:p>
    <w:sectPr w:rsidR="003436BC">
      <w:type w:val="continuous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42E8D" w14:textId="77777777" w:rsidR="00707A5C" w:rsidRDefault="00707A5C">
      <w:pPr>
        <w:spacing w:after="0" w:line="240" w:lineRule="auto"/>
      </w:pPr>
      <w:r>
        <w:separator/>
      </w:r>
    </w:p>
  </w:endnote>
  <w:endnote w:type="continuationSeparator" w:id="0">
    <w:p w14:paraId="05176361" w14:textId="77777777" w:rsidR="00707A5C" w:rsidRDefault="0070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8557853"/>
      <w:docPartObj>
        <w:docPartGallery w:val="Page Numbers (Bottom of Page)"/>
        <w:docPartUnique/>
      </w:docPartObj>
    </w:sdtPr>
    <w:sdtEndPr/>
    <w:sdtContent>
      <w:p w14:paraId="39CD54C6" w14:textId="77777777" w:rsidR="003436BC" w:rsidRDefault="005F4A68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153A074D" w14:textId="77777777" w:rsidR="003436BC" w:rsidRDefault="005F4A6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Rua Eng. Roberto Gonçalves Menezes, 71, Centro</w:t>
    </w:r>
  </w:p>
  <w:p w14:paraId="6E36C081" w14:textId="77777777" w:rsidR="003436BC" w:rsidRDefault="005F4A6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Maceió - AL | CEP:57020-680</w:t>
    </w:r>
  </w:p>
  <w:p w14:paraId="45840328" w14:textId="77777777" w:rsidR="003436BC" w:rsidRDefault="00707A5C">
    <w:pPr>
      <w:pStyle w:val="Footer"/>
      <w:jc w:val="center"/>
      <w:rPr>
        <w:sz w:val="16"/>
        <w:szCs w:val="16"/>
      </w:rPr>
    </w:pPr>
    <w:hyperlink r:id="rId1">
      <w:r w:rsidR="005F4A68">
        <w:rPr>
          <w:rStyle w:val="LinkdaInternet"/>
          <w:sz w:val="16"/>
          <w:szCs w:val="16"/>
        </w:rPr>
        <w:t>www.maceio.al.gov.br/arser</w:t>
      </w:r>
    </w:hyperlink>
    <w:r w:rsidR="005F4A68">
      <w:rPr>
        <w:sz w:val="16"/>
        <w:szCs w:val="16"/>
      </w:rPr>
      <w:br/>
      <w:t>ouvidoria@arser.maceio.al.gov.br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479CB" w14:textId="77777777" w:rsidR="00707A5C" w:rsidRDefault="00707A5C">
      <w:pPr>
        <w:spacing w:after="0" w:line="240" w:lineRule="auto"/>
      </w:pPr>
      <w:r>
        <w:separator/>
      </w:r>
    </w:p>
  </w:footnote>
  <w:footnote w:type="continuationSeparator" w:id="0">
    <w:p w14:paraId="6D8D9443" w14:textId="77777777" w:rsidR="00707A5C" w:rsidRDefault="0070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3C150" w14:textId="77777777" w:rsidR="003436BC" w:rsidRDefault="005F4A68">
    <w:pPr>
      <w:spacing w:after="0" w:line="240" w:lineRule="auto"/>
      <w:jc w:val="center"/>
      <w:rPr>
        <w:rFonts w:cs="Arial"/>
        <w:b/>
        <w:color w:val="808080" w:themeColor="background1" w:themeShade="80"/>
        <w:sz w:val="20"/>
        <w:szCs w:val="20"/>
      </w:rPr>
    </w:pPr>
    <w:r>
      <w:rPr>
        <w:noProof/>
      </w:rPr>
      <w:drawing>
        <wp:anchor distT="0" distB="0" distL="0" distR="0" simplePos="0" relativeHeight="5" behindDoc="1" locked="0" layoutInCell="1" allowOverlap="1" wp14:anchorId="76FB0C9E" wp14:editId="18200722">
          <wp:simplePos x="0" y="0"/>
          <wp:positionH relativeFrom="column">
            <wp:posOffset>5111115</wp:posOffset>
          </wp:positionH>
          <wp:positionV relativeFrom="paragraph">
            <wp:posOffset>-268605</wp:posOffset>
          </wp:positionV>
          <wp:extent cx="952500" cy="9525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FBE4F09" wp14:editId="62EAE223">
          <wp:extent cx="2426970" cy="78359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FABEE0E" w14:textId="77777777" w:rsidR="003436BC" w:rsidRDefault="00343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7178E"/>
    <w:multiLevelType w:val="multilevel"/>
    <w:tmpl w:val="D31C68DE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Calibri"/>
        <w:b/>
      </w:rPr>
    </w:lvl>
    <w:lvl w:ilvl="1">
      <w:start w:val="1"/>
      <w:numFmt w:val="decimal"/>
      <w:lvlText w:val="%1.%2."/>
      <w:lvlJc w:val="left"/>
      <w:pPr>
        <w:ind w:left="6" w:hanging="432"/>
      </w:pPr>
      <w:rPr>
        <w:rFonts w:ascii="Calibri" w:hAnsi="Calibri"/>
        <w:b/>
        <w:sz w:val="22"/>
      </w:rPr>
    </w:lvl>
    <w:lvl w:ilvl="2">
      <w:start w:val="1"/>
      <w:numFmt w:val="decimal"/>
      <w:lvlText w:val="%1.%2.%3."/>
      <w:lvlJc w:val="left"/>
      <w:pPr>
        <w:ind w:left="36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1" w15:restartNumberingAfterBreak="0">
    <w:nsid w:val="4BD611B2"/>
    <w:multiLevelType w:val="multilevel"/>
    <w:tmpl w:val="335809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BC"/>
    <w:rsid w:val="003436BC"/>
    <w:rsid w:val="00384FBA"/>
    <w:rsid w:val="00452792"/>
    <w:rsid w:val="0056204F"/>
    <w:rsid w:val="005F4A68"/>
    <w:rsid w:val="00683804"/>
    <w:rsid w:val="00707A5C"/>
    <w:rsid w:val="008B3BAC"/>
    <w:rsid w:val="00A4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75F8A7"/>
  <w15:docId w15:val="{66589537-984D-E245-AA23-A58C4B05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E59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06E59"/>
  </w:style>
  <w:style w:type="character" w:customStyle="1" w:styleId="FooterChar">
    <w:name w:val="Footer Char"/>
    <w:basedOn w:val="DefaultParagraphFont"/>
    <w:link w:val="Footer"/>
    <w:uiPriority w:val="99"/>
    <w:qFormat/>
    <w:rsid w:val="00206E59"/>
  </w:style>
  <w:style w:type="character" w:customStyle="1" w:styleId="Heading1Char">
    <w:name w:val="Heading 1 Char"/>
    <w:basedOn w:val="DefaultParagraphFont"/>
    <w:link w:val="Heading1"/>
    <w:uiPriority w:val="9"/>
    <w:qFormat/>
    <w:rsid w:val="00206E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nkdaInternet">
    <w:name w:val="Link da Internet"/>
    <w:basedOn w:val="DefaultParagraphFont"/>
    <w:uiPriority w:val="99"/>
    <w:unhideWhenUsed/>
    <w:rsid w:val="0028330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985E5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42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 w:val="0"/>
      <w:sz w:val="22"/>
      <w:szCs w:val="22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 w:val="0"/>
      <w:sz w:val="20"/>
      <w:szCs w:val="20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eastAsia="Calibri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eastAsia="Calibri"/>
    </w:rPr>
  </w:style>
  <w:style w:type="character" w:customStyle="1" w:styleId="ListLabel14">
    <w:name w:val="ListLabel 14"/>
    <w:qFormat/>
    <w:rPr>
      <w:rFonts w:eastAsia="Calibri"/>
    </w:rPr>
  </w:style>
  <w:style w:type="character" w:customStyle="1" w:styleId="ListLabel15">
    <w:name w:val="ListLabel 15"/>
    <w:qFormat/>
    <w:rPr>
      <w:rFonts w:eastAsia="Calibri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eastAsia="Calibri"/>
    </w:rPr>
  </w:style>
  <w:style w:type="character" w:customStyle="1" w:styleId="ListLabel18">
    <w:name w:val="ListLabel 18"/>
    <w:qFormat/>
    <w:rPr>
      <w:rFonts w:eastAsia="Calibri"/>
    </w:rPr>
  </w:style>
  <w:style w:type="character" w:customStyle="1" w:styleId="ListLabel19">
    <w:name w:val="ListLabel 19"/>
    <w:qFormat/>
    <w:rPr>
      <w:b w:val="0"/>
      <w:color w:val="auto"/>
    </w:rPr>
  </w:style>
  <w:style w:type="character" w:customStyle="1" w:styleId="ListLabel20">
    <w:name w:val="ListLabel 20"/>
    <w:qFormat/>
    <w:rPr>
      <w:b w:val="0"/>
      <w:color w:val="auto"/>
    </w:rPr>
  </w:style>
  <w:style w:type="character" w:customStyle="1" w:styleId="ListLabel21">
    <w:name w:val="ListLabel 21"/>
    <w:qFormat/>
    <w:rPr>
      <w:b w:val="0"/>
      <w:color w:val="auto"/>
    </w:rPr>
  </w:style>
  <w:style w:type="character" w:customStyle="1" w:styleId="ListLabel22">
    <w:name w:val="ListLabel 22"/>
    <w:qFormat/>
    <w:rPr>
      <w:b w:val="0"/>
      <w:color w:val="auto"/>
    </w:rPr>
  </w:style>
  <w:style w:type="character" w:customStyle="1" w:styleId="ListLabel23">
    <w:name w:val="ListLabel 23"/>
    <w:qFormat/>
    <w:rPr>
      <w:b w:val="0"/>
      <w:color w:val="auto"/>
    </w:rPr>
  </w:style>
  <w:style w:type="character" w:customStyle="1" w:styleId="ListLabel24">
    <w:name w:val="ListLabel 24"/>
    <w:qFormat/>
    <w:rPr>
      <w:b w:val="0"/>
      <w:color w:val="auto"/>
    </w:rPr>
  </w:style>
  <w:style w:type="character" w:customStyle="1" w:styleId="ListLabel25">
    <w:name w:val="ListLabel 25"/>
    <w:qFormat/>
    <w:rPr>
      <w:b w:val="0"/>
      <w:color w:val="auto"/>
    </w:rPr>
  </w:style>
  <w:style w:type="character" w:customStyle="1" w:styleId="ListLabel26">
    <w:name w:val="ListLabel 26"/>
    <w:qFormat/>
    <w:rPr>
      <w:b w:val="0"/>
      <w:color w:val="auto"/>
    </w:rPr>
  </w:style>
  <w:style w:type="character" w:customStyle="1" w:styleId="ListLabel27">
    <w:name w:val="ListLabel 27"/>
    <w:qFormat/>
    <w:rPr>
      <w:b w:val="0"/>
      <w:color w:val="auto"/>
    </w:rPr>
  </w:style>
  <w:style w:type="character" w:customStyle="1" w:styleId="ListLabel28">
    <w:name w:val="ListLabel 28"/>
    <w:qFormat/>
    <w:rPr>
      <w:sz w:val="16"/>
      <w:szCs w:val="16"/>
    </w:rPr>
  </w:style>
  <w:style w:type="character" w:customStyle="1" w:styleId="Vnculodendice">
    <w:name w:val="Vínculo de índice"/>
    <w:qFormat/>
  </w:style>
  <w:style w:type="character" w:customStyle="1" w:styleId="ListLabel29">
    <w:name w:val="ListLabel 29"/>
    <w:qFormat/>
    <w:rPr>
      <w:rFonts w:eastAsia="Calibri" w:cs="Calibri"/>
      <w:b/>
    </w:rPr>
  </w:style>
  <w:style w:type="character" w:customStyle="1" w:styleId="ListLabel30">
    <w:name w:val="ListLabel 30"/>
    <w:qFormat/>
    <w:rPr>
      <w:rFonts w:ascii="Calibri" w:hAnsi="Calibri"/>
      <w:b/>
      <w:sz w:val="22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sz w:val="16"/>
      <w:szCs w:val="16"/>
    </w:rPr>
  </w:style>
  <w:style w:type="character" w:customStyle="1" w:styleId="ListLabel33">
    <w:name w:val="ListLabel 33"/>
    <w:qFormat/>
    <w:rPr>
      <w:rFonts w:eastAsia="Calibri" w:cs="Calibri"/>
      <w:b/>
    </w:rPr>
  </w:style>
  <w:style w:type="character" w:customStyle="1" w:styleId="ListLabel34">
    <w:name w:val="ListLabel 34"/>
    <w:qFormat/>
    <w:rPr>
      <w:rFonts w:ascii="Calibri" w:hAnsi="Calibri"/>
      <w:b/>
      <w:sz w:val="22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sz w:val="16"/>
      <w:szCs w:val="16"/>
    </w:rPr>
  </w:style>
  <w:style w:type="character" w:customStyle="1" w:styleId="ListLabel37">
    <w:name w:val="ListLabel 37"/>
    <w:qFormat/>
    <w:rPr>
      <w:rFonts w:eastAsia="Calibri" w:cs="Calibri"/>
      <w:b/>
    </w:rPr>
  </w:style>
  <w:style w:type="character" w:customStyle="1" w:styleId="ListLabel38">
    <w:name w:val="ListLabel 38"/>
    <w:qFormat/>
    <w:rPr>
      <w:rFonts w:ascii="Calibri" w:hAnsi="Calibri"/>
      <w:b/>
      <w:sz w:val="22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Header">
    <w:name w:val="header"/>
    <w:basedOn w:val="Normal"/>
    <w:link w:val="Header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06E59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06E5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206E59"/>
    <w:pPr>
      <w:spacing w:line="259" w:lineRule="auto"/>
    </w:pPr>
    <w:rPr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330C"/>
    <w:pPr>
      <w:spacing w:after="100"/>
    </w:pPr>
  </w:style>
  <w:style w:type="paragraph" w:customStyle="1" w:styleId="Default">
    <w:name w:val="Default"/>
    <w:qFormat/>
    <w:rsid w:val="00EE19FC"/>
    <w:pPr>
      <w:suppressAutoHyphens/>
      <w:spacing w:line="100" w:lineRule="atLeast"/>
    </w:pPr>
    <w:rPr>
      <w:rFonts w:ascii="Arial" w:eastAsia="SimSu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874BD8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42E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6E2751"/>
    <w:pPr>
      <w:spacing w:after="100" w:line="259" w:lineRule="auto"/>
      <w:ind w:left="220"/>
    </w:pPr>
    <w:rPr>
      <w:rFonts w:eastAsiaTheme="minorEastAsia" w:cs="Times New Roman"/>
      <w:lang w:eastAsia="pt-BR"/>
    </w:rPr>
  </w:style>
  <w:style w:type="paragraph" w:styleId="TOC3">
    <w:name w:val="toc 3"/>
    <w:basedOn w:val="Normal"/>
    <w:next w:val="Normal"/>
    <w:autoRedefine/>
    <w:uiPriority w:val="39"/>
    <w:unhideWhenUsed/>
    <w:rsid w:val="006E2751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table" w:styleId="TableGrid">
    <w:name w:val="Table Grid"/>
    <w:basedOn w:val="TableNormal"/>
    <w:uiPriority w:val="39"/>
    <w:rsid w:val="000A4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eio.al.gov.br/ars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E8A2-E0CD-43BD-B5FB-C17E9BCE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3327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Carvalho</dc:creator>
  <dc:description/>
  <cp:lastModifiedBy>Thiago Costa</cp:lastModifiedBy>
  <cp:revision>39</cp:revision>
  <cp:lastPrinted>2019-09-11T12:25:00Z</cp:lastPrinted>
  <dcterms:created xsi:type="dcterms:W3CDTF">2017-08-07T11:31:00Z</dcterms:created>
  <dcterms:modified xsi:type="dcterms:W3CDTF">2020-09-04T14:04:00Z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