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spacing w:lineRule="auto" w:line="276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ind w:right="3117" w:hanging="0"/>
        <w:rPr>
          <w:rFonts w:ascii="Calibri" w:hAnsi="Calibri"/>
        </w:rPr>
      </w:pPr>
      <w:r>
        <w:rPr/>
      </w:r>
    </w:p>
    <w:p>
      <w:pPr>
        <w:pStyle w:val="Normal"/>
        <w:ind w:right="3117" w:hanging="0"/>
        <w:rPr>
          <w:rFonts w:ascii="Arial" w:hAnsi="Arial"/>
          <w:sz w:val="22"/>
          <w:szCs w:val="22"/>
        </w:rPr>
      </w:pPr>
      <w:r>
        <w:rPr>
          <w:rFonts w:cs="Calibri" w:ascii="Arial" w:hAnsi="Arial" w:cstheme="minorHAnsi"/>
          <w:sz w:val="22"/>
          <w:szCs w:val="22"/>
        </w:rPr>
        <w:t>Proce</w:t>
      </w:r>
      <w:r>
        <w:rPr>
          <w:rFonts w:cs="Calibri" w:ascii="Arial" w:hAnsi="Arial" w:cstheme="minorHAnsi"/>
          <w:b w:val="false"/>
          <w:bCs w:val="false"/>
          <w:sz w:val="22"/>
          <w:szCs w:val="22"/>
        </w:rPr>
        <w:t xml:space="preserve">sso nº: </w:t>
      </w:r>
      <w:r>
        <w:rPr>
          <w:rFonts w:cs="Calibri" w:ascii="Arial" w:hAnsi="Arial" w:cstheme="minorHAnsi"/>
          <w:b w:val="false"/>
          <w:bCs w:val="false"/>
          <w:sz w:val="22"/>
          <w:szCs w:val="22"/>
        </w:rPr>
        <w:t xml:space="preserve">6700.54135/2021 </w:t>
      </w:r>
    </w:p>
    <w:p>
      <w:pPr>
        <w:pStyle w:val="Normal"/>
        <w:spacing w:lineRule="auto" w:line="276"/>
        <w:ind w:right="3117" w:hanging="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 w:cstheme="minorHAnsi"/>
          <w:b w:val="false"/>
          <w:bCs w:val="false"/>
          <w:color w:val="auto"/>
          <w:sz w:val="22"/>
          <w:szCs w:val="22"/>
        </w:rPr>
        <w:t xml:space="preserve">Objeto: </w:t>
      </w:r>
      <w:r>
        <w:rPr>
          <w:rFonts w:cs="Calibri" w:ascii="Arial" w:hAnsi="Arial" w:cstheme="minorHAnsi"/>
          <w:b w:val="false"/>
          <w:bCs w:val="false"/>
          <w:color w:val="auto"/>
          <w:sz w:val="22"/>
          <w:szCs w:val="22"/>
        </w:rPr>
        <w:t xml:space="preserve"> </w:t>
      </w:r>
      <w:r>
        <w:rPr>
          <w:rFonts w:eastAsia="Calibri" w:cs="Times New Roman" w:ascii="Arial" w:hAnsi="Arial"/>
          <w:b w:val="false"/>
          <w:bCs w:val="false"/>
          <w:color w:val="000000"/>
          <w:sz w:val="22"/>
          <w:szCs w:val="22"/>
          <w:shd w:fill="auto" w:val="clear"/>
          <w:lang w:eastAsia="pt-BR"/>
        </w:rPr>
        <w:t>Registro de Preços para futura e eventual aquisição de Materiais de Construção e Ferramentas com base na listagem da Tabela de Insumos SINAPI.</w:t>
      </w:r>
    </w:p>
    <w:p>
      <w:pPr>
        <w:pStyle w:val="Normal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eastAsia="Times New Roman" w:cs="Arial" w:ascii="Arial" w:hAnsi="Arial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pt-BR" w:eastAsia="pt-BR" w:bidi="ar-SA"/>
        </w:rPr>
        <w:t xml:space="preserve">Trata-se de pedido de esclarecimentos aos termos do Edital de licitação nº PE 18/2022, </w:t>
      </w:r>
      <w:r>
        <w:rPr>
          <w:rFonts w:eastAsia="Times New Roman" w:cs="Arial" w:ascii="Arial" w:hAnsi="Arial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pt-BR" w:eastAsia="pt-BR" w:bidi="ar-SA"/>
        </w:rPr>
        <w:t xml:space="preserve">enviado por e-mail pela empresa </w:t>
      </w:r>
      <w:r>
        <w:rPr>
          <w:rFonts w:eastAsia="Times New Roman" w:cs="Arial" w:ascii="Arial" w:hAnsi="Arial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pt-BR" w:eastAsia="pt-BR" w:bidi="ar-SA"/>
        </w:rPr>
        <w:t>COMFERRAL COMERCIO DE FERRAGENS LTDA</w:t>
      </w:r>
      <w:r>
        <w:rPr>
          <w:rFonts w:eastAsia="Times New Roman" w:cs="Arial" w:ascii="Arial" w:hAnsi="Arial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pt-BR" w:eastAsia="pt-BR" w:bidi="ar-SA"/>
        </w:rPr>
        <w:t xml:space="preserve"> </w:t>
      </w:r>
      <w:r>
        <w:rPr>
          <w:rFonts w:eastAsia="Times New Roman" w:cs="Arial" w:ascii="Arial" w:hAnsi="Arial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pt-BR" w:eastAsia="pt-BR" w:bidi="ar-SA"/>
        </w:rPr>
        <w:t>no dia</w:t>
      </w:r>
      <w:r>
        <w:rPr>
          <w:rFonts w:eastAsia="Times New Roman" w:cs="Arial" w:ascii="Arial" w:hAnsi="Arial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pt-BR" w:eastAsia="pt-BR" w:bidi="ar-SA"/>
        </w:rPr>
        <w:t xml:space="preserve"> 1</w:t>
      </w:r>
      <w:r>
        <w:rPr>
          <w:rFonts w:eastAsia="Times New Roman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2"/>
          <w:szCs w:val="22"/>
          <w:u w:val="none"/>
          <w:effect w:val="none"/>
          <w:lang w:val="pt-BR" w:eastAsia="pt-BR" w:bidi="ar-SA"/>
        </w:rPr>
        <w:t>5 de fev</w:t>
      </w:r>
      <w:r>
        <w:rPr>
          <w:rFonts w:eastAsia="Times New Roman" w:cs="Arial" w:ascii="Arial" w:hAnsi="Arial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pt-BR" w:eastAsia="pt-BR" w:bidi="ar-SA"/>
        </w:rPr>
        <w:t xml:space="preserve">. de 2022 </w:t>
      </w:r>
      <w:r>
        <w:rPr>
          <w:rFonts w:eastAsia="Times New Roman" w:cs="Arial" w:ascii="Arial" w:hAnsi="Arial"/>
          <w:b w:val="false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pt-BR" w:eastAsia="pt-BR" w:bidi="ar-SA"/>
        </w:rPr>
        <w:t xml:space="preserve"> os quais foram analisados e respondidos pela equipe técnica responsável pela elaboração do Termo de Referência, quanto aos seguintes questionamentos: </w:t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QUESTIONAMENTO </w:t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/>
          <w:i/>
          <w:iCs/>
          <w:caps w:val="false"/>
          <w:smallCaps w:val="false"/>
          <w:color w:val="000000"/>
          <w:spacing w:val="0"/>
          <w:sz w:val="22"/>
          <w:szCs w:val="22"/>
        </w:rPr>
        <w:t> “</w:t>
      </w:r>
      <w:r>
        <w:rPr>
          <w:rFonts w:ascii="Arial" w:hAnsi="Arial"/>
          <w:i/>
          <w:iCs/>
          <w:caps w:val="false"/>
          <w:smallCaps w:val="false"/>
          <w:color w:val="000000"/>
          <w:spacing w:val="0"/>
          <w:sz w:val="22"/>
          <w:szCs w:val="22"/>
        </w:rPr>
        <w:t>R</w:t>
      </w:r>
      <w:r>
        <w:rPr>
          <w:rFonts w:ascii="Arial" w:hAnsi="Arial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  <w:t>ecebemos o edital, por</w:t>
      </w:r>
      <w:r>
        <w:rPr>
          <w:rFonts w:ascii="Arial" w:hAnsi="Arial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  <w:t>é</w:t>
      </w:r>
      <w:r>
        <w:rPr>
          <w:rFonts w:ascii="Arial" w:hAnsi="Arial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  <w:t>m o mesmo está confuso no ato da consulta, de forma que não conseguimos identificar os itens para formular proposta de preço para os produtos constantes.</w:t>
      </w:r>
    </w:p>
    <w:p>
      <w:pPr>
        <w:pStyle w:val="Normal"/>
        <w:widowControl/>
        <w:ind w:left="0" w:right="0" w:hanging="0"/>
        <w:rPr>
          <w:rFonts w:ascii="Arial" w:hAnsi="Arial"/>
          <w:b w:val="false"/>
          <w:i/>
          <w:i/>
          <w:iCs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  <w:t>Nota: Gostaríamos que nos fosse dado mais esclarecimento e ou nos enviar o termos de referência específico para o certame”.</w:t>
      </w:r>
    </w:p>
    <w:p>
      <w:pPr>
        <w:pStyle w:val="Normal"/>
        <w:widowControl/>
        <w:ind w:left="0" w:right="0" w:hanging="0"/>
        <w:rPr>
          <w:rFonts w:ascii="Arial" w:hAnsi="Arial"/>
          <w:b w:val="false"/>
          <w:i/>
          <w:i/>
          <w:iCs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</w:r>
    </w:p>
    <w:p>
      <w:pPr>
        <w:pStyle w:val="Normal"/>
        <w:widowControl/>
        <w:ind w:left="0" w:right="0" w:hanging="0"/>
        <w:rPr>
          <w:rFonts w:ascii="Arial" w:hAnsi="Arial"/>
          <w:b w:val="false"/>
          <w:i/>
          <w:i/>
          <w:iCs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  <w:t>“</w:t>
      </w:r>
      <w:r>
        <w:rPr>
          <w:rFonts w:ascii="Arial" w:hAnsi="Arial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  <w:t>Pedimos uma explicação dos que são os materiais da TABELA SINAPI “</w:t>
      </w:r>
    </w:p>
    <w:p>
      <w:pPr>
        <w:pStyle w:val="Normal"/>
        <w:widowControl/>
        <w:ind w:left="0" w:right="0" w:hanging="0"/>
        <w:rPr>
          <w:rFonts w:ascii="Arial" w:hAnsi="Arial"/>
          <w:b w:val="false"/>
          <w:i/>
          <w:i/>
          <w:iCs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</w:r>
    </w:p>
    <w:p>
      <w:pPr>
        <w:pStyle w:val="Normal"/>
        <w:widowControl/>
        <w:ind w:left="0" w:right="0" w:hanging="0"/>
        <w:rPr>
          <w:rFonts w:ascii="Arial" w:hAnsi="Arial"/>
          <w:b w:val="false"/>
          <w:i/>
          <w:i/>
          <w:iCs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</w:r>
    </w:p>
    <w:p>
      <w:pPr>
        <w:pStyle w:val="Normal"/>
        <w:widowControl/>
        <w:ind w:left="0" w:right="0" w:hanging="0"/>
        <w:rPr>
          <w:rFonts w:ascii="Arial" w:hAnsi="Arial"/>
          <w:b w:val="false"/>
          <w:i/>
          <w:i/>
          <w:iCs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</w:r>
    </w:p>
    <w:p>
      <w:pPr>
        <w:pStyle w:val="Normal"/>
        <w:widowControl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</w:r>
    </w:p>
    <w:p>
      <w:pPr>
        <w:pStyle w:val="Normal"/>
        <w:widowControl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RESPOSTA</w:t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“</w:t>
      </w:r>
      <w:r>
        <w:rPr>
          <w:rFonts w:ascii="Arial" w:hAnsi="Arial"/>
          <w:i/>
          <w:iCs/>
          <w:sz w:val="22"/>
          <w:szCs w:val="22"/>
        </w:rPr>
        <w:t xml:space="preserve">Verifica-se que o interessado está com dificuldade na identificação dos itens para que possa elaborar sua proposta. Pois bem, é importante demonstrar que o objeto da licitação está no Edital conforme segue abaixo a tabela: </w:t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</w:r>
    </w:p>
    <w:tbl>
      <w:tblPr>
        <w:tblW w:w="4900" w:type="pct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5006"/>
        <w:gridCol w:w="1290"/>
        <w:gridCol w:w="1532"/>
      </w:tblGrid>
      <w:tr>
        <w:trPr>
          <w:trHeight w:val="1196" w:hRule="atLeast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>ITEM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>Descrição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>Unidade de Medida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 xml:space="preserve">  </w:t>
            </w:r>
          </w:p>
          <w:p>
            <w:pPr>
              <w:pStyle w:val="Normal"/>
              <w:rPr>
                <w:rFonts w:ascii="Arial" w:hAnsi="Arial" w:cs="Times New Roman"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 xml:space="preserve">Percentual </w:t>
            </w:r>
          </w:p>
        </w:tc>
      </w:tr>
      <w:tr>
        <w:trPr>
          <w:trHeight w:val="1424" w:hRule="atLeast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Times New Roman"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i/>
                <w:iCs/>
                <w:sz w:val="22"/>
                <w:szCs w:val="22"/>
              </w:rPr>
              <w:t xml:space="preserve">Materiais de Alvenaria, hidráulica e pintura abrangendo cimento, areia, brita, blocos, tijolos, argamassas, tinta, revestimento, cal e demais acessórios, complementos e afins (baseado na tabela SINAPI).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>desconto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 w:cs="Times New Roman"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Arial" w:hAnsi="Arial" w:cs="Times New Roman"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Arial" w:hAnsi="Arial" w:cs="Times New Roman"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suppressAutoHyphens w:val="false"/>
              <w:jc w:val="center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Calibri" w:ascii="Arial" w:hAnsi="Arial"/>
                <w:i/>
                <w:iCs/>
                <w:color w:val="000000"/>
                <w:sz w:val="22"/>
                <w:szCs w:val="22"/>
              </w:rPr>
              <w:t>5,7%</w:t>
            </w:r>
          </w:p>
          <w:p>
            <w:pPr>
              <w:pStyle w:val="Normal"/>
              <w:jc w:val="center"/>
              <w:rPr>
                <w:rFonts w:ascii="Arial" w:hAnsi="Arial" w:cs="Times New Roman"/>
                <w:bCs/>
                <w:i/>
                <w:i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cs="Times New Roman" w:ascii="Arial" w:hAnsi="Arial"/>
                <w:bCs/>
                <w:i/>
                <w:iCs/>
                <w:color w:val="000000"/>
                <w:sz w:val="22"/>
                <w:szCs w:val="22"/>
                <w:lang w:eastAsia="pt-BR"/>
              </w:rPr>
            </w:r>
          </w:p>
        </w:tc>
      </w:tr>
      <w:tr>
        <w:trPr>
          <w:trHeight w:val="694" w:hRule="atLeast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i/>
                <w:iCs/>
                <w:sz w:val="22"/>
                <w:szCs w:val="22"/>
              </w:rPr>
              <w:t xml:space="preserve">Materiais de Telhas e Calhas e demais acessórios, complementos e afins (baseado na tabela SINAPI).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i/>
                <w:iCs/>
                <w:sz w:val="22"/>
                <w:szCs w:val="22"/>
              </w:rPr>
              <w:t>desconto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Calibri" w:ascii="Arial" w:hAnsi="Arial"/>
                <w:i/>
                <w:iCs/>
                <w:color w:val="000000"/>
                <w:sz w:val="22"/>
                <w:szCs w:val="22"/>
              </w:rPr>
              <w:t>5,7%</w:t>
            </w:r>
          </w:p>
        </w:tc>
      </w:tr>
      <w:tr>
        <w:trPr>
          <w:trHeight w:val="1257" w:hRule="atLeast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i/>
                <w:iCs/>
                <w:sz w:val="22"/>
                <w:szCs w:val="22"/>
              </w:rPr>
              <w:t xml:space="preserve">Materiais de Ferragens, serralharia e vidraçaria abrangendo dobradiças, fechaduras, trancas, pregos, parafusos, suportes, ganchos e demais acessórios, complementos e afins (baseado na tabela SINAPI).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i/>
                <w:iCs/>
                <w:sz w:val="22"/>
                <w:szCs w:val="22"/>
              </w:rPr>
              <w:t>desconto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Calibri" w:ascii="Arial" w:hAnsi="Arial"/>
                <w:i/>
                <w:iCs/>
                <w:color w:val="000000"/>
                <w:sz w:val="22"/>
                <w:szCs w:val="22"/>
              </w:rPr>
              <w:t>5,7%</w:t>
            </w:r>
          </w:p>
        </w:tc>
      </w:tr>
      <w:tr>
        <w:trPr>
          <w:trHeight w:val="991" w:hRule="atLeast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i/>
                <w:iCs/>
                <w:sz w:val="22"/>
                <w:szCs w:val="22"/>
              </w:rPr>
              <w:t xml:space="preserve">Materiais de Ferro, Aço, carpintaria, paisagismo e elétrica abrangendo tubos, fios, chapas, telhas, arames, telas, vigas, vergalhões e demais acessórios, complementos e afins (baseado na tabela SINAPI).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Times New Roman" w:ascii="Arial" w:hAnsi="Arial"/>
                <w:i/>
                <w:iCs/>
                <w:sz w:val="22"/>
                <w:szCs w:val="22"/>
              </w:rPr>
              <w:t>desconto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Arial" w:hAnsi="Arial"/>
                <w:i/>
                <w:i/>
                <w:iCs/>
                <w:sz w:val="22"/>
                <w:szCs w:val="22"/>
              </w:rPr>
            </w:pPr>
            <w:r>
              <w:rPr>
                <w:rFonts w:cs="Calibri" w:ascii="Arial" w:hAnsi="Arial"/>
                <w:i/>
                <w:iCs/>
                <w:color w:val="000000"/>
                <w:sz w:val="22"/>
                <w:szCs w:val="22"/>
              </w:rPr>
              <w:t>5,7%</w:t>
            </w:r>
          </w:p>
        </w:tc>
      </w:tr>
    </w:tbl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J</w:t>
      </w:r>
      <w:r>
        <w:rPr>
          <w:rFonts w:ascii="Arial" w:hAnsi="Arial"/>
          <w:i/>
          <w:iCs/>
          <w:sz w:val="22"/>
          <w:szCs w:val="22"/>
        </w:rPr>
        <w:t>á os valor</w:t>
      </w:r>
      <w:r>
        <w:rPr>
          <w:rFonts w:ascii="Arial" w:hAnsi="Arial"/>
          <w:i/>
          <w:iCs/>
          <w:sz w:val="22"/>
          <w:szCs w:val="22"/>
        </w:rPr>
        <w:t>es</w:t>
      </w:r>
      <w:r>
        <w:rPr>
          <w:rFonts w:ascii="Arial" w:hAnsi="Arial"/>
          <w:i/>
          <w:iCs/>
          <w:sz w:val="22"/>
          <w:szCs w:val="22"/>
        </w:rPr>
        <w:t xml:space="preserve"> de referência adotado como preços máximos admitidos para aquisição dos MATERIAIS DE CONSTRUÇÃO estão disponíveis na tabela SINAPI de forma atualizada, de sorte que o critério de dimensionamento da proposta será o MAIOR PERCENTUAL DE DESCONTO SOBRE OS PREÇOS POSITIVADOS NA ALUDIDA TABELA, a qual encontrase disponível no sitio abaixo: https://www.caixa.gov.br/site/Paginas/downloads.aspx#categoria_639. Logo, o licitante interessado deve analisar o Edital do Pregão Eletrônico 18/2022, bem como a tabela SINAPI para elaborar a sua proposta. </w:t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 xml:space="preserve">Ante o exposto, seja dada continuidade ao certame licitatório do mencionado Pregão, haja vista que houve o devido esclarecimento. </w:t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Por oportuno, estamos à disposição para demais esclarecimentos.</w:t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 xml:space="preserve"> </w:t>
      </w:r>
      <w:r>
        <w:rPr>
          <w:rFonts w:ascii="Arial" w:hAnsi="Arial"/>
          <w:i/>
          <w:iCs/>
          <w:sz w:val="22"/>
          <w:szCs w:val="22"/>
        </w:rPr>
        <w:t xml:space="preserve">Maceió/AL, 16 de fevereiro de 2022. </w:t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 xml:space="preserve">Reinaldo Antônio da Silva Júnior </w:t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Diretor Especial de Técnica e Normativa”</w:t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i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</w:r>
    </w:p>
    <w:p>
      <w:pPr>
        <w:pStyle w:val="Normal"/>
        <w:tabs>
          <w:tab w:val="clear" w:pos="720"/>
          <w:tab w:val="left" w:pos="600" w:leader="none"/>
        </w:tabs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Maceió, 1</w:t>
      </w:r>
      <w:r>
        <w:rPr>
          <w:rFonts w:cs="Arial" w:ascii="Arial" w:hAnsi="Arial"/>
          <w:sz w:val="22"/>
          <w:szCs w:val="22"/>
        </w:rPr>
        <w:t xml:space="preserve">6 </w:t>
      </w:r>
      <w:r>
        <w:rPr>
          <w:rFonts w:cs="Arial" w:ascii="Arial" w:hAnsi="Arial"/>
          <w:sz w:val="22"/>
          <w:szCs w:val="22"/>
        </w:rPr>
        <w:t xml:space="preserve">de </w:t>
      </w:r>
      <w:r>
        <w:rPr>
          <w:rFonts w:cs="Arial" w:ascii="Arial" w:hAnsi="Arial"/>
          <w:sz w:val="22"/>
          <w:szCs w:val="22"/>
        </w:rPr>
        <w:t>fevereiro</w:t>
      </w:r>
      <w:r>
        <w:rPr>
          <w:rFonts w:cs="Arial" w:ascii="Arial" w:hAnsi="Arial"/>
          <w:sz w:val="22"/>
          <w:szCs w:val="22"/>
        </w:rPr>
        <w:t xml:space="preserve"> de 202</w:t>
      </w:r>
      <w:r>
        <w:rPr>
          <w:rFonts w:cs="Arial" w:ascii="Arial" w:hAnsi="Arial"/>
          <w:sz w:val="22"/>
          <w:szCs w:val="22"/>
        </w:rPr>
        <w:t>2</w:t>
      </w:r>
      <w:r>
        <w:rPr>
          <w:rFonts w:cs="Arial" w:ascii="Arial" w:hAnsi="Arial"/>
          <w:sz w:val="22"/>
          <w:szCs w:val="22"/>
        </w:rPr>
        <w:t>.</w:t>
      </w:r>
    </w:p>
    <w:p>
      <w:pPr>
        <w:pStyle w:val="Normal"/>
        <w:tabs>
          <w:tab w:val="clear" w:pos="720"/>
          <w:tab w:val="left" w:pos="600" w:leader="none"/>
        </w:tabs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Elizame Guedes Evangelista</w:t>
      </w:r>
    </w:p>
    <w:p>
      <w:pPr>
        <w:pStyle w:val="Normal"/>
        <w:spacing w:lineRule="auto" w:line="276"/>
        <w:jc w:val="center"/>
        <w:rPr>
          <w:rFonts w:ascii="Arial" w:hAnsi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>Pregoeira/CPL/ARSER</w:t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headerReference w:type="default" r:id="rId2"/>
      <w:type w:val="nextPage"/>
      <w:pgSz w:w="11906" w:h="16838"/>
      <w:pgMar w:left="1701" w:right="1417" w:header="284" w:top="1418" w:footer="0" w:bottom="1276" w:gutter="0"/>
      <w:pgNumType w:fmt="decimal"/>
      <w:formProt w:val="false"/>
      <w:textDirection w:val="lrTb"/>
      <w:docGrid w:type="default" w:linePitch="2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Albertus (W1)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tulo3"/>
      <w:numPr>
        <w:ilvl w:val="0"/>
        <w:numId w:val="0"/>
      </w:numPr>
      <w:ind w:left="720" w:hanging="720"/>
      <w:rPr>
        <w:rFonts w:ascii="Calibri" w:hAnsi="Calibri"/>
        <w:bCs/>
        <w:iCs/>
        <w:sz w:val="20"/>
      </w:rPr>
    </w:pPr>
    <w:r>
      <w:rPr>
        <w:rFonts w:ascii="Calibri" w:hAnsi="Calibri"/>
        <w:bCs/>
        <w:iCs/>
        <w:sz w:val="20"/>
      </w:rPr>
    </w:r>
  </w:p>
  <w:p>
    <w:pPr>
      <w:pStyle w:val="Normal"/>
      <w:jc w:val="center"/>
      <w:rPr/>
    </w:pPr>
    <w:r>
      <w:rPr/>
      <w:drawing>
        <wp:inline distT="0" distB="0" distL="0" distR="0">
          <wp:extent cx="2425065" cy="918845"/>
          <wp:effectExtent l="0" t="0" r="0" b="0"/>
          <wp:docPr id="1" name="Imagem 1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28571" r="0" b="24132"/>
                  <a:stretch>
                    <a:fillRect/>
                  </a:stretch>
                </pic:blipFill>
                <pic:spPr bwMode="auto">
                  <a:xfrm>
                    <a:off x="0" y="0"/>
                    <a:ext cx="2425065" cy="918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pStyle w:val="Ttulo2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pStyle w:val="Ttulo3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pStyle w:val="Ttulo4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pStyle w:val="Ttulo5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pStyle w:val="Ttulo6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pStyle w:val="Ttulo7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pStyle w:val="Ttulo8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pStyle w:val="Ttulo9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99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7379"/>
    <w:pPr>
      <w:widowControl/>
      <w:suppressAutoHyphens w:val="true"/>
      <w:bidi w:val="0"/>
      <w:spacing w:before="0" w:after="0"/>
      <w:jc w:val="left"/>
    </w:pPr>
    <w:rPr>
      <w:rFonts w:ascii="Times" w:hAnsi="Times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qFormat/>
    <w:rsid w:val="00aa7c2c"/>
    <w:pPr>
      <w:keepNext w:val="true"/>
      <w:widowControl w:val="false"/>
      <w:numPr>
        <w:ilvl w:val="0"/>
        <w:numId w:val="1"/>
      </w:numPr>
      <w:jc w:val="both"/>
      <w:outlineLvl w:val="0"/>
    </w:pPr>
    <w:rPr>
      <w:rFonts w:ascii="Times New Roman" w:hAnsi="Times New Roman"/>
      <w:sz w:val="28"/>
      <w:szCs w:val="20"/>
    </w:rPr>
  </w:style>
  <w:style w:type="paragraph" w:styleId="Ttulo2">
    <w:name w:val="Heading 2"/>
    <w:basedOn w:val="Normal"/>
    <w:next w:val="Normal"/>
    <w:qFormat/>
    <w:rsid w:val="00aa7c2c"/>
    <w:pPr>
      <w:keepNext w:val="true"/>
      <w:widowControl w:val="false"/>
      <w:numPr>
        <w:ilvl w:val="1"/>
        <w:numId w:val="1"/>
      </w:numPr>
      <w:spacing w:before="0" w:after="48"/>
      <w:outlineLvl w:val="1"/>
    </w:pPr>
    <w:rPr>
      <w:rFonts w:ascii="Times New Roman" w:hAnsi="Times New Roman"/>
      <w:b/>
      <w:sz w:val="28"/>
      <w:szCs w:val="20"/>
    </w:rPr>
  </w:style>
  <w:style w:type="paragraph" w:styleId="Ttulo3">
    <w:name w:val="Heading 3"/>
    <w:basedOn w:val="Normal"/>
    <w:next w:val="Normal"/>
    <w:qFormat/>
    <w:rsid w:val="00aa7c2c"/>
    <w:pPr>
      <w:keepNext w:val="true"/>
      <w:widowControl w:val="false"/>
      <w:numPr>
        <w:ilvl w:val="2"/>
        <w:numId w:val="1"/>
      </w:numPr>
      <w:jc w:val="both"/>
      <w:outlineLvl w:val="2"/>
    </w:pPr>
    <w:rPr>
      <w:rFonts w:ascii="Arial" w:hAnsi="Arial"/>
      <w:b/>
      <w:szCs w:val="20"/>
    </w:rPr>
  </w:style>
  <w:style w:type="paragraph" w:styleId="Ttulo4">
    <w:name w:val="Heading 4"/>
    <w:basedOn w:val="Normal"/>
    <w:next w:val="Normal"/>
    <w:qFormat/>
    <w:rsid w:val="00aa7c2c"/>
    <w:pPr>
      <w:keepNext w:val="true"/>
      <w:widowControl w:val="false"/>
      <w:numPr>
        <w:ilvl w:val="3"/>
        <w:numId w:val="1"/>
      </w:numPr>
      <w:tabs>
        <w:tab w:val="clear" w:pos="720"/>
        <w:tab w:val="left" w:pos="8647" w:leader="none"/>
        <w:tab w:val="left" w:pos="10632" w:leader="none"/>
      </w:tabs>
      <w:ind w:right="448" w:hanging="0"/>
      <w:jc w:val="both"/>
      <w:outlineLvl w:val="3"/>
    </w:pPr>
    <w:rPr>
      <w:rFonts w:ascii="Albertus (W1)" w:hAnsi="Albertus (W1)"/>
      <w:b/>
      <w:szCs w:val="20"/>
    </w:rPr>
  </w:style>
  <w:style w:type="paragraph" w:styleId="Ttulo5">
    <w:name w:val="Heading 5"/>
    <w:basedOn w:val="Normal"/>
    <w:next w:val="Normal"/>
    <w:qFormat/>
    <w:rsid w:val="00aa7c2c"/>
    <w:pPr>
      <w:keepNext w:val="true"/>
      <w:widowControl w:val="false"/>
      <w:numPr>
        <w:ilvl w:val="4"/>
        <w:numId w:val="1"/>
      </w:numPr>
      <w:tabs>
        <w:tab w:val="clear" w:pos="720"/>
        <w:tab w:val="left" w:pos="8647" w:leader="none"/>
        <w:tab w:val="left" w:pos="10632" w:leader="none"/>
      </w:tabs>
      <w:ind w:right="-562" w:hanging="0"/>
      <w:jc w:val="both"/>
      <w:outlineLvl w:val="4"/>
    </w:pPr>
    <w:rPr>
      <w:rFonts w:ascii="Times New Roman" w:hAnsi="Times New Roman"/>
      <w:b/>
      <w:szCs w:val="20"/>
    </w:rPr>
  </w:style>
  <w:style w:type="paragraph" w:styleId="Ttulo6">
    <w:name w:val="Heading 6"/>
    <w:basedOn w:val="Normal"/>
    <w:next w:val="Normal"/>
    <w:qFormat/>
    <w:rsid w:val="00aa7c2c"/>
    <w:pPr>
      <w:keepNext w:val="true"/>
      <w:widowControl w:val="false"/>
      <w:numPr>
        <w:ilvl w:val="5"/>
        <w:numId w:val="1"/>
      </w:numPr>
      <w:tabs>
        <w:tab w:val="clear" w:pos="720"/>
        <w:tab w:val="left" w:pos="8647" w:leader="none"/>
        <w:tab w:val="left" w:pos="8788" w:leader="none"/>
        <w:tab w:val="left" w:pos="10632" w:leader="none"/>
      </w:tabs>
      <w:ind w:right="-562" w:hanging="0"/>
      <w:outlineLvl w:val="5"/>
    </w:pPr>
    <w:rPr>
      <w:rFonts w:ascii="Arial" w:hAnsi="Arial"/>
      <w:b/>
      <w:szCs w:val="20"/>
    </w:rPr>
  </w:style>
  <w:style w:type="paragraph" w:styleId="Ttulo7">
    <w:name w:val="Heading 7"/>
    <w:basedOn w:val="Normal"/>
    <w:next w:val="Normal"/>
    <w:qFormat/>
    <w:rsid w:val="00aa7c2c"/>
    <w:pPr>
      <w:keepNext w:val="true"/>
      <w:widowControl w:val="false"/>
      <w:numPr>
        <w:ilvl w:val="6"/>
        <w:numId w:val="1"/>
      </w:numPr>
      <w:tabs>
        <w:tab w:val="clear" w:pos="720"/>
        <w:tab w:val="left" w:pos="8647" w:leader="none"/>
        <w:tab w:val="left" w:pos="10632" w:leader="none"/>
      </w:tabs>
      <w:ind w:right="448" w:hanging="0"/>
      <w:jc w:val="both"/>
      <w:outlineLvl w:val="6"/>
    </w:pPr>
    <w:rPr>
      <w:rFonts w:ascii="Arial" w:hAnsi="Arial"/>
      <w:b/>
      <w:szCs w:val="20"/>
    </w:rPr>
  </w:style>
  <w:style w:type="paragraph" w:styleId="Ttulo8">
    <w:name w:val="Heading 8"/>
    <w:basedOn w:val="Normal"/>
    <w:next w:val="Normal"/>
    <w:qFormat/>
    <w:rsid w:val="00aa7c2c"/>
    <w:pPr>
      <w:keepNext w:val="true"/>
      <w:widowControl w:val="false"/>
      <w:numPr>
        <w:ilvl w:val="7"/>
        <w:numId w:val="1"/>
      </w:numPr>
      <w:tabs>
        <w:tab w:val="clear" w:pos="720"/>
        <w:tab w:val="left" w:pos="8647" w:leader="none"/>
        <w:tab w:val="left" w:pos="10632" w:leader="none"/>
      </w:tabs>
      <w:ind w:right="448" w:hanging="0"/>
      <w:jc w:val="both"/>
      <w:outlineLvl w:val="7"/>
    </w:pPr>
    <w:rPr>
      <w:rFonts w:ascii="Arial" w:hAnsi="Arial"/>
      <w:b/>
      <w:i/>
      <w:szCs w:val="20"/>
    </w:rPr>
  </w:style>
  <w:style w:type="paragraph" w:styleId="Ttulo9">
    <w:name w:val="Heading 9"/>
    <w:basedOn w:val="Normal"/>
    <w:next w:val="Normal"/>
    <w:qFormat/>
    <w:rsid w:val="00aa7c2c"/>
    <w:pPr>
      <w:keepNext w:val="true"/>
      <w:widowControl w:val="false"/>
      <w:numPr>
        <w:ilvl w:val="8"/>
        <w:numId w:val="1"/>
      </w:numPr>
      <w:jc w:val="center"/>
      <w:outlineLvl w:val="8"/>
    </w:pPr>
    <w:rPr>
      <w:rFonts w:ascii="Times New Roman" w:hAnsi="Times New Roman"/>
      <w:b/>
      <w:color w:val="0000FF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rsid w:val="00fe0c29"/>
    <w:rPr>
      <w:color w:val="0000FF"/>
      <w:u w:val="single"/>
    </w:rPr>
  </w:style>
  <w:style w:type="character" w:styleId="Strong">
    <w:name w:val="Strong"/>
    <w:basedOn w:val="DefaultParagraphFont"/>
    <w:qFormat/>
    <w:rsid w:val="00a023dd"/>
    <w:rPr>
      <w:b/>
      <w:bCs/>
    </w:rPr>
  </w:style>
  <w:style w:type="character" w:styleId="SubttuloChar" w:customStyle="1">
    <w:name w:val="Subtítulo Char"/>
    <w:basedOn w:val="DefaultParagraphFont"/>
    <w:link w:val="Subttulo"/>
    <w:qFormat/>
    <w:rsid w:val="00a023dd"/>
    <w:rPr>
      <w:rFonts w:ascii="Cambria" w:hAnsi="Cambria" w:eastAsia="Times New Roman" w:cs="Times New Roman"/>
      <w:sz w:val="24"/>
      <w:szCs w:val="24"/>
    </w:rPr>
  </w:style>
  <w:style w:type="character" w:styleId="Nfase">
    <w:name w:val="Ênfase"/>
    <w:basedOn w:val="DefaultParagraphFont"/>
    <w:qFormat/>
    <w:rsid w:val="00a023dd"/>
    <w:rPr>
      <w:i/>
      <w:iCs/>
    </w:rPr>
  </w:style>
  <w:style w:type="character" w:styleId="CorpodetextoChar" w:customStyle="1">
    <w:name w:val="Corpo de texto Char"/>
    <w:basedOn w:val="DefaultParagraphFont"/>
    <w:link w:val="Corpodetexto"/>
    <w:uiPriority w:val="99"/>
    <w:qFormat/>
    <w:rsid w:val="00a47f65"/>
    <w:rPr>
      <w:rFonts w:ascii="Arial" w:hAnsi="Arial"/>
      <w:sz w:val="22"/>
    </w:rPr>
  </w:style>
  <w:style w:type="character" w:styleId="TextodebaloChar" w:customStyle="1">
    <w:name w:val="Texto de balão Char"/>
    <w:basedOn w:val="DefaultParagraphFont"/>
    <w:link w:val="Textodebalo"/>
    <w:qFormat/>
    <w:rsid w:val="009d20d4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8601ed"/>
    <w:rPr>
      <w:rFonts w:ascii="Times" w:hAnsi="Times"/>
      <w:sz w:val="24"/>
      <w:szCs w:val="24"/>
    </w:rPr>
  </w:style>
  <w:style w:type="character" w:styleId="PargrafodaListaChar" w:customStyle="1">
    <w:name w:val="Parágrafo da Lista Char"/>
    <w:link w:val="PargrafodaLista"/>
    <w:qFormat/>
    <w:locked/>
    <w:rsid w:val="0044056f"/>
    <w:rPr>
      <w:rFonts w:ascii="Calibri" w:hAnsi="Calibri" w:eastAsia="Calibri"/>
      <w:sz w:val="22"/>
      <w:szCs w:val="22"/>
      <w:lang w:eastAsia="en-US"/>
    </w:rPr>
  </w:style>
  <w:style w:type="character" w:styleId="Nfaseforte">
    <w:name w:val="Ênfase forte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rsid w:val="00a47f65"/>
    <w:pPr>
      <w:tabs>
        <w:tab w:val="clear" w:pos="720"/>
        <w:tab w:val="left" w:pos="1134" w:leader="none"/>
        <w:tab w:val="left" w:pos="1588" w:leader="none"/>
      </w:tabs>
      <w:spacing w:lineRule="exact" w:line="266" w:before="0" w:after="120"/>
      <w:jc w:val="both"/>
    </w:pPr>
    <w:rPr>
      <w:rFonts w:ascii="Arial" w:hAnsi="Arial"/>
      <w:sz w:val="22"/>
      <w:szCs w:val="20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aa7c2c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rsid w:val="00aa7c2c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Subttulo">
    <w:name w:val="Subtitle"/>
    <w:basedOn w:val="Normal"/>
    <w:next w:val="Normal"/>
    <w:link w:val="SubttuloChar"/>
    <w:qFormat/>
    <w:rsid w:val="00a023dd"/>
    <w:pPr>
      <w:spacing w:before="0" w:after="60"/>
      <w:jc w:val="center"/>
      <w:outlineLvl w:val="1"/>
    </w:pPr>
    <w:rPr>
      <w:rFonts w:ascii="Cambria" w:hAnsi="Cambria"/>
    </w:rPr>
  </w:style>
  <w:style w:type="paragraph" w:styleId="ListParagraph">
    <w:name w:val="List Paragraph"/>
    <w:basedOn w:val="Normal"/>
    <w:link w:val="PargrafodaListaChar"/>
    <w:qFormat/>
    <w:rsid w:val="00a86b3b"/>
    <w:pPr>
      <w:spacing w:before="120" w:after="0"/>
      <w:ind w:left="720" w:firstLine="709"/>
      <w:contextualSpacing/>
      <w:jc w:val="both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9d20d4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qFormat/>
    <w:rsid w:val="00414dbd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90520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Application>LibreOffice/6.4.6.2$Windows_X86_64 LibreOffice_project/0ce51a4fd21bff07a5c061082cc82c5ed232f115</Application>
  <Pages>2</Pages>
  <Words>416</Words>
  <Characters>2471</Characters>
  <CharactersWithSpaces>2870</CharactersWithSpaces>
  <Paragraphs>41</Paragraphs>
  <Company>CLUP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2021-09-09T02:21:00Z</dcterms:created>
  <dc:creator>alice</dc:creator>
  <dc:description/>
  <dc:language>pt-BR</dc:language>
  <cp:lastModifiedBy/>
  <cp:lastPrinted>2021-09-14T13:57:00Z</cp:lastPrinted>
  <dcterms:modified xsi:type="dcterms:W3CDTF">2022-02-16T23:19:19Z</dcterms:modified>
  <cp:revision>20</cp:revision>
  <dc:subject/>
  <dc:title>Prezado Senhor,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CLUP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