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  <w:r w:rsidR="00993983">
        <w:rPr>
          <w:rFonts w:ascii="Calibri" w:hAnsi="Calibri"/>
          <w:b/>
          <w:sz w:val="22"/>
          <w:szCs w:val="22"/>
          <w:u w:val="single"/>
        </w:rPr>
        <w:t xml:space="preserve"> </w:t>
      </w:r>
      <w:bookmarkStart w:id="0" w:name="_GoBack"/>
      <w:bookmarkEnd w:id="0"/>
    </w:p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AC6412" w:rsidRDefault="00C26C41" w:rsidP="00AC641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2473">
        <w:rPr>
          <w:rFonts w:asciiTheme="minorHAnsi" w:hAnsiTheme="minorHAnsi"/>
          <w:sz w:val="22"/>
          <w:szCs w:val="22"/>
        </w:rPr>
        <w:t>Registro de Preços para futura e event</w:t>
      </w:r>
      <w:r w:rsidRPr="00C72473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5415E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5415E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107888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Água Mineral</w:t>
      </w:r>
      <w:r w:rsidR="00D5415E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, sem gás (copo e garrafa)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r w:rsidRPr="00D5415E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5415E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D5415E">
        <w:rPr>
          <w:rFonts w:asciiTheme="minorHAnsi" w:hAnsiTheme="minorHAnsi"/>
          <w:sz w:val="22"/>
          <w:szCs w:val="22"/>
        </w:rPr>
        <w:t>do Município</w:t>
      </w:r>
      <w:r w:rsidR="00385A25" w:rsidRPr="00AC6412">
        <w:rPr>
          <w:rFonts w:asciiTheme="minorHAnsi" w:hAnsiTheme="minorHAnsi"/>
          <w:sz w:val="22"/>
          <w:szCs w:val="22"/>
        </w:rPr>
        <w:t xml:space="preserve">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Pr="00BE137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 w:rsidRPr="00BE137A"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:rsidR="00AC6412" w:rsidRPr="00BE137A" w:rsidRDefault="007F7F1A" w:rsidP="009877CB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37A">
        <w:rPr>
          <w:rFonts w:asciiTheme="minorHAnsi" w:hAnsiTheme="minorHAnsi" w:cstheme="minorHAnsi"/>
          <w:sz w:val="22"/>
          <w:szCs w:val="22"/>
        </w:rPr>
        <w:t xml:space="preserve">Nesse sentido, visando atender a demanda interna dos Órgãos e Entidades </w:t>
      </w:r>
      <w:r w:rsidR="00115EB3" w:rsidRPr="00BE137A">
        <w:rPr>
          <w:rFonts w:asciiTheme="minorHAnsi" w:hAnsiTheme="minorHAnsi" w:cstheme="minorHAnsi"/>
          <w:sz w:val="22"/>
          <w:szCs w:val="22"/>
        </w:rPr>
        <w:t>deste Município</w:t>
      </w:r>
      <w:r w:rsidRPr="00BE137A">
        <w:rPr>
          <w:rFonts w:asciiTheme="minorHAnsi" w:hAnsiTheme="minorHAnsi" w:cstheme="minorHAnsi"/>
          <w:sz w:val="22"/>
          <w:szCs w:val="22"/>
        </w:rPr>
        <w:t xml:space="preserve">, será mapeada </w:t>
      </w:r>
      <w:r w:rsidR="00115EB3" w:rsidRPr="00BE137A">
        <w:rPr>
          <w:rFonts w:asciiTheme="minorHAnsi" w:hAnsiTheme="minorHAnsi" w:cstheme="minorHAnsi"/>
          <w:sz w:val="22"/>
          <w:szCs w:val="22"/>
        </w:rPr>
        <w:t xml:space="preserve">a necessidade </w:t>
      </w:r>
      <w:r w:rsidRPr="00BE137A">
        <w:rPr>
          <w:rFonts w:asciiTheme="minorHAnsi" w:hAnsiTheme="minorHAnsi" w:cstheme="minorHAnsi"/>
          <w:sz w:val="22"/>
          <w:szCs w:val="22"/>
        </w:rPr>
        <w:t xml:space="preserve">relativa </w:t>
      </w:r>
      <w:r w:rsidR="00326814" w:rsidRPr="00BE137A">
        <w:rPr>
          <w:rFonts w:asciiTheme="minorHAnsi" w:hAnsiTheme="minorHAnsi" w:cstheme="minorHAnsi"/>
          <w:sz w:val="22"/>
          <w:szCs w:val="22"/>
        </w:rPr>
        <w:t>à</w:t>
      </w:r>
      <w:r w:rsidR="00E94BC3" w:rsidRPr="00BE137A">
        <w:rPr>
          <w:rFonts w:asciiTheme="minorHAnsi" w:hAnsiTheme="minorHAnsi" w:cstheme="minorHAnsi"/>
          <w:sz w:val="22"/>
          <w:szCs w:val="22"/>
        </w:rPr>
        <w:t xml:space="preserve"> aquisição</w:t>
      </w:r>
      <w:r w:rsidR="00AC6412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r w:rsidR="00107888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Pr="00BE137A">
        <w:rPr>
          <w:rFonts w:asciiTheme="minorHAnsi" w:hAnsiTheme="minorHAnsi" w:cstheme="minorHAnsi"/>
          <w:sz w:val="22"/>
          <w:szCs w:val="22"/>
        </w:rPr>
        <w:t>,</w:t>
      </w:r>
      <w:r w:rsidR="00D5415E" w:rsidRPr="00BE137A">
        <w:rPr>
          <w:rFonts w:asciiTheme="minorHAnsi" w:hAnsiTheme="minorHAnsi" w:cstheme="minorHAnsi"/>
          <w:sz w:val="22"/>
          <w:szCs w:val="22"/>
        </w:rPr>
        <w:t xml:space="preserve"> sem gás (copo e garrafa)</w:t>
      </w:r>
      <w:r w:rsidRPr="00BE137A">
        <w:rPr>
          <w:rFonts w:asciiTheme="minorHAnsi" w:hAnsiTheme="minorHAnsi" w:cstheme="minorHAnsi"/>
          <w:sz w:val="22"/>
          <w:szCs w:val="22"/>
        </w:rPr>
        <w:t xml:space="preserve"> para atendimento </w:t>
      </w:r>
      <w:r w:rsidR="00326814" w:rsidRPr="00BE137A">
        <w:rPr>
          <w:rFonts w:asciiTheme="minorHAnsi" w:hAnsiTheme="minorHAnsi" w:cstheme="minorHAnsi"/>
          <w:sz w:val="22"/>
          <w:szCs w:val="22"/>
        </w:rPr>
        <w:t xml:space="preserve">a </w:t>
      </w:r>
      <w:r w:rsidRPr="00BE137A">
        <w:rPr>
          <w:rFonts w:asciiTheme="minorHAnsi" w:hAnsiTheme="minorHAnsi" w:cstheme="minorHAnsi"/>
          <w:sz w:val="22"/>
          <w:szCs w:val="22"/>
        </w:rPr>
        <w:t xml:space="preserve">todos os </w:t>
      </w:r>
      <w:r w:rsidR="00602E21" w:rsidRPr="00BE137A">
        <w:rPr>
          <w:rFonts w:asciiTheme="minorHAnsi" w:hAnsiTheme="minorHAnsi" w:cstheme="minorHAnsi"/>
          <w:sz w:val="22"/>
          <w:szCs w:val="22"/>
        </w:rPr>
        <w:t xml:space="preserve">Órgãos </w:t>
      </w:r>
      <w:r w:rsidRPr="00BE137A">
        <w:rPr>
          <w:rFonts w:asciiTheme="minorHAnsi" w:hAnsiTheme="minorHAnsi" w:cstheme="minorHAnsi"/>
          <w:sz w:val="22"/>
          <w:szCs w:val="22"/>
        </w:rPr>
        <w:t xml:space="preserve">da </w:t>
      </w:r>
      <w:r w:rsidR="00115EB3" w:rsidRPr="00BE137A">
        <w:rPr>
          <w:rFonts w:asciiTheme="minorHAnsi" w:hAnsiTheme="minorHAnsi" w:cstheme="minorHAnsi"/>
          <w:sz w:val="22"/>
          <w:szCs w:val="22"/>
        </w:rPr>
        <w:t>Administração Pública do Município de Maceió</w:t>
      </w:r>
      <w:r w:rsidRPr="00BE137A">
        <w:rPr>
          <w:rFonts w:asciiTheme="minorHAnsi" w:hAnsiTheme="minorHAnsi" w:cstheme="minorHAnsi"/>
          <w:sz w:val="22"/>
          <w:szCs w:val="22"/>
        </w:rPr>
        <w:t>.</w:t>
      </w:r>
    </w:p>
    <w:p w:rsidR="007451C4" w:rsidRPr="00BE137A" w:rsidRDefault="00907A1B" w:rsidP="00107888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Justifica-se o </w:t>
      </w:r>
      <w:r w:rsidRPr="00BE137A">
        <w:rPr>
          <w:rFonts w:asciiTheme="minorHAnsi" w:hAnsiTheme="minorHAnsi" w:cstheme="minorHAnsi"/>
          <w:sz w:val="22"/>
          <w:szCs w:val="22"/>
        </w:rPr>
        <w:t xml:space="preserve">fornecimento de água mineral para atender as 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necessidades </w:t>
      </w:r>
      <w:r w:rsidR="00A340E6" w:rsidRPr="00BE137A">
        <w:rPr>
          <w:rFonts w:asciiTheme="minorHAnsi" w:hAnsiTheme="minorHAnsi" w:cstheme="minorHAnsi"/>
          <w:sz w:val="22"/>
          <w:szCs w:val="22"/>
        </w:rPr>
        <w:t>do</w:t>
      </w:r>
      <w:r w:rsidR="00854B6A" w:rsidRPr="00BE137A">
        <w:rPr>
          <w:rFonts w:asciiTheme="minorHAnsi" w:hAnsiTheme="minorHAnsi" w:cstheme="minorHAnsi"/>
          <w:sz w:val="22"/>
          <w:szCs w:val="22"/>
        </w:rPr>
        <w:t>s diversos Órgãos que possua</w:t>
      </w:r>
      <w:r w:rsidRPr="00BE137A">
        <w:rPr>
          <w:rFonts w:asciiTheme="minorHAnsi" w:hAnsiTheme="minorHAnsi" w:cstheme="minorHAnsi"/>
          <w:sz w:val="22"/>
          <w:szCs w:val="22"/>
        </w:rPr>
        <w:t xml:space="preserve">m </w:t>
      </w:r>
      <w:r w:rsidR="00A340E6" w:rsidRPr="00BE137A">
        <w:rPr>
          <w:rFonts w:asciiTheme="minorHAnsi" w:hAnsiTheme="minorHAnsi" w:cstheme="minorHAnsi"/>
          <w:sz w:val="22"/>
          <w:szCs w:val="22"/>
        </w:rPr>
        <w:t xml:space="preserve">atividades </w:t>
      </w:r>
      <w:r w:rsidR="00917102" w:rsidRPr="00BE137A">
        <w:rPr>
          <w:rFonts w:asciiTheme="minorHAnsi" w:hAnsiTheme="minorHAnsi" w:cstheme="minorHAnsi"/>
          <w:sz w:val="22"/>
          <w:szCs w:val="22"/>
        </w:rPr>
        <w:t>fora de suas repartições</w:t>
      </w:r>
      <w:r w:rsidR="00854B6A" w:rsidRPr="00BE137A">
        <w:rPr>
          <w:rFonts w:asciiTheme="minorHAnsi" w:hAnsiTheme="minorHAnsi" w:cstheme="minorHAnsi"/>
          <w:sz w:val="22"/>
          <w:szCs w:val="22"/>
        </w:rPr>
        <w:t>, onde se torna</w:t>
      </w:r>
      <w:r w:rsidR="00917102" w:rsidRPr="00BE137A">
        <w:rPr>
          <w:rFonts w:asciiTheme="minorHAnsi" w:hAnsiTheme="minorHAnsi" w:cstheme="minorHAnsi"/>
          <w:sz w:val="22"/>
          <w:szCs w:val="22"/>
        </w:rPr>
        <w:t>rá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 imprescindível</w:t>
      </w:r>
      <w:r w:rsidR="00917102" w:rsidRPr="00BE137A">
        <w:rPr>
          <w:rFonts w:asciiTheme="minorHAnsi" w:hAnsiTheme="minorHAnsi" w:cstheme="minorHAnsi"/>
          <w:sz w:val="22"/>
          <w:szCs w:val="22"/>
        </w:rPr>
        <w:t xml:space="preserve"> o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917102" w:rsidRPr="00BE137A">
        <w:rPr>
          <w:rFonts w:asciiTheme="minorHAnsi" w:hAnsiTheme="minorHAnsi" w:cstheme="minorHAnsi"/>
          <w:sz w:val="22"/>
          <w:szCs w:val="22"/>
        </w:rPr>
        <w:t>deslocamento de</w:t>
      </w:r>
      <w:r w:rsidRPr="00BE137A">
        <w:rPr>
          <w:rFonts w:asciiTheme="minorHAnsi" w:hAnsiTheme="minorHAnsi" w:cstheme="minorHAnsi"/>
          <w:sz w:val="22"/>
          <w:szCs w:val="22"/>
        </w:rPr>
        <w:t xml:space="preserve"> serviços e prestadores par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a laborar </w:t>
      </w:r>
      <w:r w:rsidR="00E36A81" w:rsidRPr="00BE137A">
        <w:rPr>
          <w:rFonts w:asciiTheme="minorHAnsi" w:hAnsiTheme="minorHAnsi" w:cstheme="minorHAnsi"/>
          <w:sz w:val="22"/>
          <w:szCs w:val="22"/>
        </w:rPr>
        <w:t>em diversas localidades desta Capital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, assim, o </w:t>
      </w:r>
      <w:r w:rsidR="00E36A81" w:rsidRPr="00BE137A">
        <w:rPr>
          <w:rFonts w:asciiTheme="minorHAnsi" w:hAnsiTheme="minorHAnsi" w:cstheme="minorHAnsi"/>
          <w:sz w:val="22"/>
          <w:szCs w:val="22"/>
        </w:rPr>
        <w:t xml:space="preserve">pleiteado 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objeto pretende perfazer o consumo </w:t>
      </w:r>
      <w:r w:rsidR="00917102" w:rsidRPr="00BE137A">
        <w:rPr>
          <w:rFonts w:asciiTheme="minorHAnsi" w:hAnsiTheme="minorHAnsi" w:cstheme="minorHAnsi"/>
          <w:sz w:val="22"/>
          <w:szCs w:val="22"/>
        </w:rPr>
        <w:t>de água mineral, sem gás, podendo ser copo e garrafa, para os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 servidores e</w:t>
      </w:r>
      <w:r w:rsidR="00107888" w:rsidRPr="00BE137A">
        <w:rPr>
          <w:rFonts w:asciiTheme="minorHAnsi" w:hAnsiTheme="minorHAnsi" w:cstheme="minorHAnsi"/>
          <w:sz w:val="22"/>
          <w:szCs w:val="22"/>
        </w:rPr>
        <w:t xml:space="preserve"> colaboradores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854B6A" w:rsidRPr="00BE137A">
        <w:rPr>
          <w:rFonts w:asciiTheme="minorHAnsi" w:hAnsiTheme="minorHAnsi" w:cstheme="minorHAnsi"/>
          <w:sz w:val="22"/>
          <w:szCs w:val="22"/>
        </w:rPr>
        <w:t>de serviços específicos</w:t>
      </w:r>
      <w:r w:rsidR="00917102" w:rsidRPr="00BE137A">
        <w:rPr>
          <w:rFonts w:asciiTheme="minorHAnsi" w:hAnsiTheme="minorHAnsi" w:cstheme="minorHAnsi"/>
          <w:sz w:val="22"/>
          <w:szCs w:val="22"/>
        </w:rPr>
        <w:t xml:space="preserve"> e motivados ora narrado</w:t>
      </w:r>
      <w:r w:rsidR="00E36A81" w:rsidRPr="00BE137A">
        <w:rPr>
          <w:rFonts w:asciiTheme="minorHAnsi" w:hAnsiTheme="minorHAnsi" w:cstheme="minorHAnsi"/>
          <w:sz w:val="22"/>
          <w:szCs w:val="22"/>
        </w:rPr>
        <w:t>s</w:t>
      </w:r>
      <w:r w:rsidR="00917102" w:rsidRPr="00BE137A">
        <w:rPr>
          <w:rFonts w:asciiTheme="minorHAnsi" w:hAnsiTheme="minorHAnsi" w:cstheme="minorHAnsi"/>
          <w:sz w:val="22"/>
          <w:szCs w:val="22"/>
        </w:rPr>
        <w:t>.</w:t>
      </w:r>
    </w:p>
    <w:p w:rsidR="001C572A" w:rsidRPr="004D11B4" w:rsidRDefault="00107888" w:rsidP="004D11B4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E137A">
        <w:rPr>
          <w:rFonts w:asciiTheme="minorHAnsi" w:hAnsiTheme="minorHAnsi" w:cstheme="minorHAnsi"/>
          <w:sz w:val="22"/>
          <w:szCs w:val="22"/>
        </w:rPr>
        <w:t>No mais, a aquisição de água mineral, justifica-se também pelo fato de que as condições climáticas desta Capital elevam o consumo de água, assim, esta contratação tem por finalidade assegurar o fornecimento e acesso contínuo à água mineral apropriada para consumo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para os </w:t>
      </w:r>
      <w:r w:rsidR="00E36A81" w:rsidRPr="00BE137A">
        <w:rPr>
          <w:rFonts w:asciiTheme="minorHAnsi" w:hAnsiTheme="minorHAnsi" w:cstheme="minorHAnsi"/>
          <w:sz w:val="22"/>
          <w:szCs w:val="22"/>
        </w:rPr>
        <w:t>servidores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que prestam os seus serviços nas </w:t>
      </w:r>
      <w:r w:rsidR="00E36A81" w:rsidRPr="00BE137A">
        <w:rPr>
          <w:rFonts w:asciiTheme="minorHAnsi" w:hAnsiTheme="minorHAnsi" w:cstheme="minorHAnsi"/>
          <w:sz w:val="22"/>
          <w:szCs w:val="22"/>
        </w:rPr>
        <w:t>áreas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externas.</w:t>
      </w:r>
    </w:p>
    <w:p w:rsidR="007F7F1A" w:rsidRPr="00BE137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BE137A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>A aquisição dar-se-á pela modalidade licitatória denominada pregão, em sua forma eletrônica, tendo como critério de julgamento e classificação das propostas, o menor preço por item, observadas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3B5F59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E87B0D" w:rsidRPr="00297070" w:rsidRDefault="00C26C41" w:rsidP="009877CB">
      <w:pPr>
        <w:pStyle w:val="PargrafodaLista"/>
        <w:numPr>
          <w:ilvl w:val="1"/>
          <w:numId w:val="5"/>
        </w:numPr>
        <w:spacing w:before="240"/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3B5F59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3B5F59">
        <w:rPr>
          <w:rFonts w:ascii="Calibri" w:hAnsi="Calibri"/>
          <w:sz w:val="22"/>
          <w:szCs w:val="22"/>
        </w:rPr>
        <w:t xml:space="preserve">de que a mesma tem adequação orçamentária e financeira com a Lei de Responsabilidade </w:t>
      </w:r>
      <w:r w:rsidRPr="003B5F59">
        <w:rPr>
          <w:rFonts w:ascii="Calibri" w:hAnsi="Calibri"/>
          <w:sz w:val="22"/>
          <w:szCs w:val="22"/>
        </w:rPr>
        <w:lastRenderedPageBreak/>
        <w:t xml:space="preserve">Fiscal, com o Plano Plurianual e com a Lei de Diretrizes Orçamentárias, acompanhada da </w:t>
      </w:r>
      <w:r w:rsidRPr="003B5F59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A14EEF" w:rsidRPr="0032691B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</w:t>
      </w:r>
      <w:r w:rsidRPr="00907A1B">
        <w:rPr>
          <w:rFonts w:ascii="Calibri" w:eastAsia="Calibri" w:hAnsi="Calibri" w:cs="Calibri"/>
          <w:sz w:val="22"/>
          <w:szCs w:val="22"/>
        </w:rPr>
        <w:t>instrumento contratual.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907A1B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223CF7">
        <w:rPr>
          <w:rFonts w:ascii="Calibri" w:eastAsia="Calibri" w:hAnsi="Calibri" w:cs="Calibri"/>
          <w:sz w:val="22"/>
          <w:szCs w:val="22"/>
        </w:rPr>
        <w:t>1</w:t>
      </w:r>
      <w:r w:rsidR="008479EF" w:rsidRPr="00907A1B">
        <w:rPr>
          <w:rFonts w:ascii="Calibri" w:eastAsia="Calibri" w:hAnsi="Calibri" w:cs="Calibri"/>
          <w:sz w:val="22"/>
          <w:szCs w:val="22"/>
        </w:rPr>
        <w:t>% (</w:t>
      </w:r>
      <w:r w:rsidR="00907A1B">
        <w:rPr>
          <w:rFonts w:ascii="Calibri" w:eastAsia="Calibri" w:hAnsi="Calibri" w:cs="Calibri"/>
          <w:sz w:val="22"/>
          <w:szCs w:val="22"/>
        </w:rPr>
        <w:t>cinco</w:t>
      </w:r>
      <w:r w:rsidRPr="00907A1B">
        <w:rPr>
          <w:rFonts w:ascii="Calibri" w:eastAsia="Calibri" w:hAnsi="Calibri" w:cs="Calibri"/>
          <w:sz w:val="22"/>
          <w:szCs w:val="22"/>
        </w:rPr>
        <w:t xml:space="preserve"> por cento) do que se encontra registrado.</w:t>
      </w:r>
    </w:p>
    <w:p w:rsidR="002B2792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D5415E" w:rsidRDefault="00D5415E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cada fornecimento, o prazo de entrega do objeto acordado pela unidade requisitante, não podendo, todavia, ultrapassar 07 (sete) dias úteis da data da retirada da ordem de fornecimento.</w:t>
      </w:r>
    </w:p>
    <w:p w:rsidR="00D5415E" w:rsidRPr="00663EA7" w:rsidRDefault="00D5415E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Após a comunicação ao fornecedor para retirada </w:t>
      </w:r>
      <w:r w:rsidR="00907A1B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ordem de fornecimento o mesmo terá que retirá-la no prazo de 03 (três) dias úteis. Não retirando a ordem dentro do prazo, será começado o prazo para entrega, vez que o fornecedor não poderá utilizar do artifício de não ter recebido este documento para ter um prazo aumentado para entrega.</w:t>
      </w:r>
    </w:p>
    <w:p w:rsidR="002B2792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Maceió, acompanhados da documentação fiscal, juntamente com cópia da Nota de Empenho/Ordem de Fornecimento, no horário das 08h00 às 14h00 de segunda</w:t>
      </w:r>
      <w:r w:rsidR="0032691B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A cada entrega serão conferidos todos os produtos, verificando-se especialmente as datas de envasamento registradas na embalagem primária e a inviolabilidade dos lacres dos vasilhames, bem como o empilhamento e as demais exigências da legislação sanitária.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A qualquer tempo e a critério da CONTRATANTE, os produtos recebidos poderão ser submetidos a análise para controle de qualidade por laboratório oficial especializado, que emitirá laudo de análise atestando as condições do produto, correndo as despesas relativas à análise às expensas da CONTRATADA.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 xml:space="preserve">Caso o produto, em uma ou mais embalagens, apresente problemas de qualidade, detectados pelas análises laboratoriais, a CONTRATADA deverá efetuar a substituição dos lotes, no prazo de </w:t>
      </w:r>
      <w:r w:rsidRPr="00064679">
        <w:rPr>
          <w:rFonts w:asciiTheme="minorHAnsi" w:hAnsiTheme="minorHAnsi" w:cstheme="minorHAnsi"/>
          <w:b/>
          <w:sz w:val="22"/>
          <w:szCs w:val="22"/>
        </w:rPr>
        <w:t>24 (vinte e quatro) horas</w:t>
      </w:r>
      <w:r w:rsidRPr="00064679">
        <w:rPr>
          <w:rFonts w:asciiTheme="minorHAnsi" w:hAnsiTheme="minorHAnsi" w:cstheme="minorHAnsi"/>
          <w:sz w:val="22"/>
          <w:szCs w:val="22"/>
        </w:rPr>
        <w:t xml:space="preserve"> contado da notificação, independentemente da aplicação das sanções previstas no Contrato.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Caso o produto apresente problemas de qualidade em mais de um laudo de análise, o Contrato poderá ser rescindido unilateralmente, sendo nesse caso expedida comunicação oficial aos órgãos de Vigilância Sanitária do Ministério da Saúde.</w:t>
      </w:r>
    </w:p>
    <w:p w:rsidR="00064679" w:rsidRPr="002F585F" w:rsidRDefault="00064679" w:rsidP="00064679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A56293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>O(s) objeto(s) serão recebidos: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6B2A0A" w:rsidRDefault="007F7F1A" w:rsidP="006B2A0A">
      <w:pPr>
        <w:pStyle w:val="PargrafodaLista"/>
        <w:numPr>
          <w:ilvl w:val="2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2A0A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A56293">
        <w:rPr>
          <w:rFonts w:asciiTheme="minorHAnsi" w:hAnsiTheme="minorHAnsi"/>
          <w:sz w:val="22"/>
          <w:szCs w:val="22"/>
        </w:rPr>
        <w:lastRenderedPageBreak/>
        <w:t xml:space="preserve">Definitivamente, após a verificação da qualidade e quantidade do material e conseqüente aceitação, no prazo de até 05 (cinco) dia úteis. Só então será atestada a nota fiscal. </w:t>
      </w:r>
    </w:p>
    <w:p w:rsidR="00283E55" w:rsidRDefault="00283E5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171C02" w:rsidRDefault="00230705" w:rsidP="009877C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A critério da Contratante, os produtos fornecidos serão submetidos à verificação. Cabe a Contratada a substituição dos produtos que vierem a ser recusados, no prazo máximo de </w:t>
      </w:r>
      <w:r w:rsidR="00D5415E" w:rsidRPr="00171C02">
        <w:rPr>
          <w:rFonts w:ascii="Calibri" w:eastAsia="Calibri" w:hAnsi="Calibri" w:cs="Calibri"/>
          <w:sz w:val="22"/>
          <w:szCs w:val="22"/>
        </w:rPr>
        <w:t>05</w:t>
      </w:r>
      <w:r w:rsidRPr="00171C02">
        <w:rPr>
          <w:rFonts w:ascii="Calibri" w:eastAsia="Calibri" w:hAnsi="Calibri" w:cs="Calibri"/>
          <w:sz w:val="22"/>
          <w:szCs w:val="22"/>
        </w:rPr>
        <w:t xml:space="preserve"> (</w:t>
      </w:r>
      <w:r w:rsidR="00D5415E" w:rsidRPr="00171C02">
        <w:rPr>
          <w:rFonts w:ascii="Calibri" w:eastAsia="Calibri" w:hAnsi="Calibri" w:cs="Calibri"/>
          <w:sz w:val="22"/>
          <w:szCs w:val="22"/>
        </w:rPr>
        <w:t>cinco</w:t>
      </w:r>
      <w:r w:rsidRPr="00171C02">
        <w:rPr>
          <w:rFonts w:ascii="Calibri" w:eastAsia="Calibri" w:hAnsi="Calibri" w:cs="Calibri"/>
          <w:sz w:val="22"/>
          <w:szCs w:val="22"/>
        </w:rPr>
        <w:t>) dias úteis, contados da solicitação.</w:t>
      </w:r>
    </w:p>
    <w:p w:rsidR="00230705" w:rsidRPr="00171C02" w:rsidRDefault="0023070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t xml:space="preserve">Os produtos deverão atender aos dispositivos da Lei nº 8.078/90 (Código de Defesa do </w:t>
      </w:r>
      <w:r w:rsidRPr="00171C02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171C02">
        <w:rPr>
          <w:rFonts w:asciiTheme="minorHAnsi" w:eastAsia="Calibri" w:hAnsiTheme="minorHAnsi" w:cs="Calibri"/>
          <w:sz w:val="22"/>
          <w:szCs w:val="22"/>
        </w:rPr>
        <w:t>.</w:t>
      </w:r>
    </w:p>
    <w:p w:rsidR="00821F29" w:rsidRPr="00821F29" w:rsidRDefault="00FB5818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Theme="minorHAnsi" w:eastAsiaTheme="minorHAnsi" w:hAnsiTheme="minorHAnsi" w:cs="Times-Roman"/>
          <w:sz w:val="22"/>
          <w:szCs w:val="22"/>
          <w:lang w:eastAsia="en-US"/>
        </w:rPr>
        <w:t>Os produ</w:t>
      </w:r>
      <w:r w:rsidR="00821F29" w:rsidRPr="00171C02">
        <w:rPr>
          <w:rFonts w:asciiTheme="minorHAnsi" w:eastAsiaTheme="minorHAnsi" w:hAnsiTheme="minorHAnsi" w:cs="Times-Roman"/>
          <w:sz w:val="22"/>
          <w:szCs w:val="22"/>
          <w:lang w:eastAsia="en-US"/>
        </w:rPr>
        <w:t>tos deverão ser acondicionados conforme praxe do fabricante devendo garantir proteção durante transporte e estocagem, constando a identificação do produto</w:t>
      </w:r>
      <w:r w:rsidR="00821F29" w:rsidRPr="00821F29">
        <w:rPr>
          <w:rFonts w:asciiTheme="minorHAnsi" w:hAnsiTheme="minorHAnsi" w:cs="Arial"/>
          <w:sz w:val="22"/>
          <w:szCs w:val="22"/>
        </w:rPr>
        <w:t xml:space="preserve"> 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7F7F1A" w:rsidRPr="00A56293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615520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4B6DD0" w:rsidRDefault="00DC528D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B6DD0">
        <w:rPr>
          <w:rFonts w:ascii="Calibri" w:hAnsi="Calibri"/>
          <w:sz w:val="22"/>
          <w:szCs w:val="22"/>
        </w:rPr>
        <w:t xml:space="preserve">As licitantes deverão apresentar no mínimo um atestado, emitido por pessoa jurídica de direito público ou privado devidamente assinado em papel timbrado e carimbado, </w:t>
      </w:r>
      <w:r w:rsidRPr="004B6DD0">
        <w:rPr>
          <w:rFonts w:ascii="Calibri" w:hAnsi="Calibri" w:cs="Calibri"/>
          <w:sz w:val="22"/>
          <w:szCs w:val="22"/>
        </w:rPr>
        <w:t>que comprove que a licitante forneceu, de maneira satisfatória e a concreto</w:t>
      </w:r>
      <w:r w:rsidR="00AE1C16" w:rsidRPr="004B6DD0">
        <w:rPr>
          <w:rFonts w:asciiTheme="minorHAnsi" w:hAnsiTheme="minorHAnsi" w:cstheme="minorHAnsi"/>
          <w:sz w:val="22"/>
          <w:szCs w:val="22"/>
        </w:rPr>
        <w:t xml:space="preserve">, </w:t>
      </w:r>
      <w:r w:rsidR="00DB3988" w:rsidRPr="004B6DD0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="00E942DD" w:rsidRPr="004B6DD0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C26C41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FC7432" w:rsidRPr="00E454F8" w:rsidRDefault="001A767A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631B3B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 w:rsidR="00715832">
        <w:rPr>
          <w:rFonts w:ascii="Calibri" w:hAnsi="Calibri"/>
          <w:sz w:val="22"/>
          <w:szCs w:val="22"/>
        </w:rPr>
        <w:t>tidas neste Termo de Referência;</w:t>
      </w:r>
    </w:p>
    <w:p w:rsidR="00715832" w:rsidRPr="00715832" w:rsidRDefault="00715832" w:rsidP="00715832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715832">
        <w:rPr>
          <w:rFonts w:ascii="Calibri" w:hAnsi="Calibri"/>
          <w:sz w:val="22"/>
          <w:szCs w:val="22"/>
        </w:rPr>
        <w:t>Aplicar à Contratada as penalidades regulamentares contratuais.</w:t>
      </w:r>
    </w:p>
    <w:p w:rsidR="00715832" w:rsidRPr="00A56293" w:rsidRDefault="00715832" w:rsidP="00715832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C80662" w:rsidRPr="000D57B5" w:rsidRDefault="00C80662" w:rsidP="00C8066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C80662" w:rsidRPr="000D57B5" w:rsidRDefault="00C80662" w:rsidP="00C8066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="00912055">
        <w:rPr>
          <w:rFonts w:asciiTheme="minorHAnsi" w:hAnsiTheme="minorHAnsi"/>
          <w:bCs/>
          <w:sz w:val="22"/>
          <w:szCs w:val="22"/>
        </w:rPr>
        <w:t>item</w:t>
      </w:r>
      <w:r w:rsidR="00647953">
        <w:rPr>
          <w:rFonts w:asciiTheme="minorHAnsi" w:hAnsiTheme="minorHAnsi"/>
          <w:bCs/>
          <w:sz w:val="22"/>
          <w:szCs w:val="22"/>
        </w:rPr>
        <w:t xml:space="preserve"> 11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C80662" w:rsidRPr="0052159B" w:rsidRDefault="00C80662" w:rsidP="00C8066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lastRenderedPageBreak/>
        <w:t xml:space="preserve">A gestão da ARP caberá à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</w:t>
      </w:r>
      <w:r w:rsidR="008F2125" w:rsidRPr="004E0360">
        <w:rPr>
          <w:rFonts w:ascii="Calibri" w:hAnsi="Calibri"/>
          <w:sz w:val="22"/>
          <w:szCs w:val="22"/>
        </w:rPr>
        <w:t xml:space="preserve"> situada na Rua Pedro Monteiro,</w:t>
      </w:r>
      <w:r w:rsidRPr="004E0360">
        <w:rPr>
          <w:rFonts w:ascii="Calibri" w:hAnsi="Calibri"/>
          <w:sz w:val="22"/>
          <w:szCs w:val="22"/>
        </w:rPr>
        <w:t xml:space="preserve"> 47 - CEP: 57020-380, Telefone (82) 3315-7336/7327/7323.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Compete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5C7A26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5C7A26" w:rsidRPr="00524260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5C7A26" w:rsidRPr="00524260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297070" w:rsidRPr="00297070" w:rsidRDefault="00297070" w:rsidP="00297070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 técnico da execução dos serviços;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iscalizar a execução do Contrato quanto à qualidade desejada;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524260">
        <w:rPr>
          <w:rFonts w:ascii="Calibri" w:hAnsi="Calibri"/>
          <w:sz w:val="22"/>
          <w:szCs w:val="22"/>
        </w:rPr>
        <w:t>à</w:t>
      </w:r>
      <w:r w:rsidR="00C26C41"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Default="005C20E6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Pr="005A608C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 w:rsidRPr="005A608C"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D261BB" w:rsidRPr="005A608C" w:rsidRDefault="00D261BB" w:rsidP="00D261B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A608C">
        <w:rPr>
          <w:rFonts w:ascii="Calibri" w:hAnsi="Calibri"/>
          <w:bCs/>
          <w:sz w:val="22"/>
          <w:szCs w:val="22"/>
        </w:rPr>
        <w:t xml:space="preserve">Fica </w:t>
      </w:r>
      <w:r w:rsidRPr="005A608C">
        <w:rPr>
          <w:rFonts w:ascii="Calibri" w:hAnsi="Calibri"/>
          <w:sz w:val="22"/>
          <w:szCs w:val="22"/>
        </w:rPr>
        <w:t>proibido</w:t>
      </w:r>
      <w:r w:rsidRPr="005A608C">
        <w:rPr>
          <w:rFonts w:ascii="Calibri" w:hAnsi="Calibri"/>
          <w:bCs/>
          <w:sz w:val="22"/>
          <w:szCs w:val="22"/>
        </w:rPr>
        <w:t xml:space="preserve"> o reajuste do valor durante a vigência do contrato ou ata.</w:t>
      </w:r>
    </w:p>
    <w:p w:rsidR="00D261BB" w:rsidRPr="005A608C" w:rsidRDefault="00D261BB" w:rsidP="00D261B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A608C">
        <w:rPr>
          <w:rFonts w:ascii="Calibri" w:hAnsi="Calibri"/>
          <w:sz w:val="22"/>
          <w:szCs w:val="22"/>
        </w:rPr>
        <w:t>Após o período mencionado no “caput”, será admitido o reajuste, utilizando-se como base o IPCA (Índice de Preços ao Consumidor Amplo).</w:t>
      </w:r>
    </w:p>
    <w:p w:rsidR="00D261BB" w:rsidRPr="005A608C" w:rsidRDefault="00D261BB" w:rsidP="00D261B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A608C">
        <w:rPr>
          <w:rFonts w:ascii="Calibri" w:hAnsi="Calibri"/>
          <w:sz w:val="22"/>
          <w:szCs w:val="22"/>
        </w:rPr>
        <w:t>Pode ocorrer a revisão do contrato ou ata, tencionando o reequilíbrio econômico financeiro, desde que haja incidência de fato imprevisível e devidamente justificado, conforme art. 37, XXI, DA CF/88, arts. 57,§§ 1º e 2º, 65, II, “d” e § 6º, todos da Lei n.8666/93 e arts. 17/19 do Decreto Municipal nº 7.496/2013.</w:t>
      </w:r>
    </w:p>
    <w:p w:rsidR="00D261BB" w:rsidRPr="005A608C" w:rsidRDefault="00D261BB" w:rsidP="00D261B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A608C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contratada.</w:t>
      </w:r>
    </w:p>
    <w:p w:rsidR="001C572A" w:rsidRDefault="001C572A" w:rsidP="001C572A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  <w:r>
        <w:rPr>
          <w:rFonts w:ascii="Calibri" w:hAnsi="Calibri"/>
          <w:sz w:val="22"/>
          <w:szCs w:val="22"/>
        </w:rPr>
        <w:t>: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30 (trinta) dias de antecedência, hipótese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3D3C87">
        <w:rPr>
          <w:rFonts w:asciiTheme="minorHAnsi" w:eastAsia="Calibri" w:hAnsiTheme="minorHAnsi" w:cstheme="minorHAnsi"/>
          <w:sz w:val="22"/>
          <w:szCs w:val="22"/>
        </w:rPr>
        <w:t>16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3E06B2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834A48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BF47BD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</w:t>
      </w:r>
      <w:r w:rsidR="00A56293">
        <w:rPr>
          <w:rFonts w:asciiTheme="minorHAnsi" w:eastAsia="Calibri" w:hAnsiTheme="minorHAnsi" w:cstheme="minorHAnsi"/>
          <w:sz w:val="22"/>
          <w:szCs w:val="22"/>
        </w:rPr>
        <w:t xml:space="preserve">.1)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BF47BD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</w:t>
      </w:r>
      <w:r w:rsidR="00A56293">
        <w:rPr>
          <w:rFonts w:asciiTheme="minorHAnsi" w:eastAsia="Calibri" w:hAnsiTheme="minorHAnsi" w:cstheme="minorHAnsi"/>
          <w:sz w:val="22"/>
          <w:szCs w:val="22"/>
        </w:rPr>
        <w:t xml:space="preserve">.2)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6E60BB">
        <w:rPr>
          <w:rFonts w:asciiTheme="minorHAnsi" w:hAnsiTheme="minorHAnsi" w:cstheme="minorHAnsi"/>
          <w:sz w:val="22"/>
          <w:szCs w:val="22"/>
        </w:rPr>
        <w:t>1</w:t>
      </w:r>
      <w:r w:rsidR="0083730E">
        <w:rPr>
          <w:rFonts w:asciiTheme="minorHAnsi" w:hAnsiTheme="minorHAnsi" w:cstheme="minorHAnsi"/>
          <w:sz w:val="22"/>
          <w:szCs w:val="22"/>
        </w:rPr>
        <w:t>6</w:t>
      </w:r>
      <w:r w:rsidR="00BF47BD">
        <w:rPr>
          <w:rFonts w:asciiTheme="minorHAnsi" w:hAnsiTheme="minorHAnsi" w:cstheme="minorHAnsi"/>
          <w:sz w:val="22"/>
          <w:szCs w:val="22"/>
        </w:rPr>
        <w:t>.8, alínea “c</w:t>
      </w:r>
      <w:r w:rsidR="00A56293">
        <w:rPr>
          <w:rFonts w:asciiTheme="minorHAnsi" w:hAnsiTheme="minorHAnsi" w:cstheme="minorHAnsi"/>
          <w:sz w:val="22"/>
          <w:szCs w:val="22"/>
        </w:rPr>
        <w:t xml:space="preserve">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>A declaração de inidoneidade para licitar ou contratar será aplicada à vista dos motivos informados na instrução processual, podendo a reabilitação ser requerida após 2 (dois) anos de sua aplicação.</w:t>
      </w:r>
    </w:p>
    <w:p w:rsidR="003E06B2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C572A" w:rsidRDefault="003843FA" w:rsidP="008952FF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1C572A" w:rsidRPr="001C572A" w:rsidRDefault="001C572A" w:rsidP="001C572A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A4325F">
        <w:rPr>
          <w:rFonts w:ascii="Calibri" w:hAnsi="Calibri"/>
          <w:sz w:val="22"/>
          <w:szCs w:val="22"/>
        </w:rPr>
        <w:t>, através do email: gerencia.planejamento@arser</w:t>
      </w:r>
      <w:r>
        <w:rPr>
          <w:rFonts w:ascii="Calibri" w:hAnsi="Calibri"/>
          <w:sz w:val="22"/>
          <w:szCs w:val="22"/>
        </w:rPr>
        <w:t>.maceio.al.gov.br, telefone para contato (82) 3315-7336/7327/7323.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404291" w:rsidRDefault="0040429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404291" w:rsidRDefault="0040429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 w:rsidR="00FA0016">
        <w:rPr>
          <w:rFonts w:ascii="Calibri" w:hAnsi="Calibri"/>
          <w:sz w:val="22"/>
          <w:szCs w:val="22"/>
        </w:rPr>
        <w:t xml:space="preserve"> 19</w:t>
      </w:r>
      <w:r w:rsidRPr="003F1BE1">
        <w:rPr>
          <w:rFonts w:ascii="Calibri" w:hAnsi="Calibri"/>
          <w:sz w:val="22"/>
          <w:szCs w:val="22"/>
        </w:rPr>
        <w:t xml:space="preserve"> </w:t>
      </w:r>
      <w:r w:rsidR="00C26C41" w:rsidRPr="003F1BE1">
        <w:rPr>
          <w:rFonts w:ascii="Calibri" w:hAnsi="Calibri"/>
          <w:sz w:val="22"/>
          <w:szCs w:val="22"/>
        </w:rPr>
        <w:t xml:space="preserve">de </w:t>
      </w:r>
      <w:r w:rsidR="004B15B5">
        <w:rPr>
          <w:rFonts w:ascii="Calibri" w:hAnsi="Calibri"/>
          <w:sz w:val="22"/>
          <w:szCs w:val="22"/>
        </w:rPr>
        <w:t>Abril</w:t>
      </w:r>
      <w:r w:rsidR="00C26C41" w:rsidRPr="003F1BE1">
        <w:rPr>
          <w:rFonts w:ascii="Calibri" w:hAnsi="Calibri"/>
          <w:sz w:val="22"/>
          <w:szCs w:val="22"/>
        </w:rPr>
        <w:t xml:space="preserve"> de 2017.</w:t>
      </w:r>
    </w:p>
    <w:p w:rsidR="00C26C41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033806" w:rsidRPr="00DE589C" w:rsidRDefault="00DE589C" w:rsidP="00C26C41">
      <w:pPr>
        <w:jc w:val="center"/>
        <w:rPr>
          <w:rFonts w:asciiTheme="minorHAnsi" w:hAnsiTheme="minorHAnsi" w:cstheme="minorHAnsi"/>
          <w:sz w:val="22"/>
          <w:szCs w:val="22"/>
        </w:rPr>
      </w:pPr>
      <w:r w:rsidRPr="00DE589C">
        <w:rPr>
          <w:rFonts w:asciiTheme="minorHAnsi" w:hAnsiTheme="minorHAnsi"/>
          <w:sz w:val="22"/>
          <w:szCs w:val="22"/>
        </w:rPr>
        <w:t>Elizame Guedes Evangelista</w:t>
      </w:r>
    </w:p>
    <w:p w:rsidR="00DE589C" w:rsidRPr="00DE589C" w:rsidRDefault="00883B21" w:rsidP="00C26C4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Gerê</w:t>
      </w:r>
      <w:r w:rsidR="00DE589C" w:rsidRPr="00DE589C">
        <w:rPr>
          <w:rFonts w:asciiTheme="minorHAnsi" w:hAnsiTheme="minorHAnsi" w:cstheme="minorHAnsi"/>
          <w:sz w:val="22"/>
          <w:szCs w:val="22"/>
        </w:rPr>
        <w:t>ncia de Planejamento e Contratações</w:t>
      </w: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9C26F6" w:rsidRDefault="009C26F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9C26F6" w:rsidRDefault="009C26F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26C41" w:rsidRPr="0019629D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t>ANEXO I</w:t>
      </w:r>
    </w:p>
    <w:p w:rsidR="00C26C41" w:rsidRPr="0019629D" w:rsidRDefault="00C26C41" w:rsidP="00121408">
      <w:pPr>
        <w:pStyle w:val="PargrafodaLista"/>
        <w:tabs>
          <w:tab w:val="left" w:pos="284"/>
        </w:tabs>
        <w:spacing w:before="120"/>
        <w:ind w:left="720"/>
        <w:rPr>
          <w:rFonts w:asciiTheme="minorHAnsi" w:hAnsiTheme="minorHAnsi" w:cs="Arial"/>
          <w:b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907A1B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907A1B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907A1B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907A1B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102145" w:rsidRPr="00907A1B">
        <w:rPr>
          <w:rFonts w:asciiTheme="minorHAnsi" w:hAnsiTheme="minorHAnsi" w:cstheme="minorHAnsi"/>
          <w:sz w:val="22"/>
          <w:szCs w:val="22"/>
        </w:rPr>
        <w:t xml:space="preserve">de </w:t>
      </w:r>
      <w:r w:rsidR="00DB3988" w:rsidRPr="00907A1B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="00404291">
        <w:rPr>
          <w:rFonts w:asciiTheme="minorHAnsi" w:eastAsiaTheme="minorHAnsi" w:hAnsiTheme="minorHAnsi" w:cstheme="minorHAnsi"/>
          <w:sz w:val="22"/>
          <w:szCs w:val="22"/>
          <w:lang w:eastAsia="en-US"/>
        </w:rPr>
        <w:t>, sem gás (</w:t>
      </w:r>
      <w:r w:rsidR="00907A1B" w:rsidRPr="00907A1B">
        <w:rPr>
          <w:rFonts w:asciiTheme="minorHAnsi" w:eastAsiaTheme="minorHAnsi" w:hAnsiTheme="minorHAnsi" w:cstheme="minorHAnsi"/>
          <w:sz w:val="22"/>
          <w:szCs w:val="22"/>
          <w:lang w:eastAsia="en-US"/>
        </w:rPr>
        <w:t>copo e garrafa)</w:t>
      </w:r>
      <w:r w:rsidR="00E942DD" w:rsidRPr="00907A1B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C0E88" w:rsidRPr="00907A1B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907A1B">
        <w:rPr>
          <w:rFonts w:asciiTheme="minorHAnsi" w:hAnsiTheme="minorHAnsi"/>
          <w:sz w:val="22"/>
          <w:szCs w:val="22"/>
        </w:rPr>
        <w:t xml:space="preserve">para atendimento aos diversos Órgãos e Entidades da Administração Pública do Município de Maceió, nas especificações e quantidades </w:t>
      </w:r>
      <w:r w:rsidR="00416659">
        <w:rPr>
          <w:rFonts w:asciiTheme="minorHAnsi" w:hAnsiTheme="minorHAnsi"/>
          <w:sz w:val="22"/>
          <w:szCs w:val="22"/>
        </w:rPr>
        <w:t>constantes neste</w:t>
      </w:r>
      <w:r w:rsidR="00BC0E88" w:rsidRPr="00907A1B">
        <w:rPr>
          <w:rFonts w:asciiTheme="minorHAnsi" w:hAnsiTheme="minorHAnsi"/>
          <w:sz w:val="22"/>
          <w:szCs w:val="22"/>
        </w:rPr>
        <w:t xml:space="preserve"> An</w:t>
      </w:r>
      <w:r w:rsidR="00416659">
        <w:rPr>
          <w:rFonts w:asciiTheme="minorHAnsi" w:hAnsiTheme="minorHAnsi"/>
          <w:sz w:val="22"/>
          <w:szCs w:val="22"/>
        </w:rPr>
        <w:t>exo I do</w:t>
      </w:r>
      <w:r w:rsidR="00216FD3" w:rsidRPr="00907A1B">
        <w:rPr>
          <w:rFonts w:asciiTheme="minorHAnsi" w:hAnsiTheme="minorHAnsi"/>
          <w:sz w:val="22"/>
          <w:szCs w:val="22"/>
        </w:rPr>
        <w:t xml:space="preserve"> Termo de Referência</w:t>
      </w:r>
      <w:r w:rsidR="00685DB8" w:rsidRPr="00907A1B">
        <w:rPr>
          <w:rFonts w:asciiTheme="minorHAnsi" w:hAnsiTheme="minorHAnsi" w:cs="Arial"/>
          <w:sz w:val="22"/>
          <w:szCs w:val="22"/>
        </w:rPr>
        <w:t xml:space="preserve"> mediante fornecimento parcelado, durante o exercício de 2017, para atendimento aos diversos Órgãos e Entidades da Administração Pública do Município de Maceió, nas especificações e quantidades constantes </w:t>
      </w:r>
      <w:r w:rsidR="00746689" w:rsidRPr="00907A1B">
        <w:rPr>
          <w:rFonts w:asciiTheme="minorHAnsi" w:hAnsiTheme="minorHAnsi" w:cs="Arial"/>
          <w:sz w:val="22"/>
          <w:szCs w:val="22"/>
        </w:rPr>
        <w:t>abaixo:</w:t>
      </w:r>
    </w:p>
    <w:p w:rsidR="007A1466" w:rsidRPr="00907A1B" w:rsidRDefault="007A1466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907A1B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1312"/>
        <w:gridCol w:w="1418"/>
      </w:tblGrid>
      <w:tr w:rsidR="007D6162" w:rsidRPr="00907A1B" w:rsidTr="000C4B87">
        <w:tc>
          <w:tcPr>
            <w:tcW w:w="675" w:type="dxa"/>
          </w:tcPr>
          <w:p w:rsidR="007D6162" w:rsidRPr="00907A1B" w:rsidRDefault="007D6162" w:rsidP="005F62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954" w:type="dxa"/>
          </w:tcPr>
          <w:p w:rsidR="007D6162" w:rsidRPr="00907A1B" w:rsidRDefault="007D6162" w:rsidP="007D6162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A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12" w:type="dxa"/>
          </w:tcPr>
          <w:p w:rsidR="007D6162" w:rsidRPr="00907A1B" w:rsidRDefault="007D6162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7D6162" w:rsidRPr="00907A1B" w:rsidRDefault="007D6162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</w:p>
        </w:tc>
      </w:tr>
      <w:tr w:rsidR="007D6162" w:rsidRPr="00907A1B" w:rsidTr="00812968">
        <w:tc>
          <w:tcPr>
            <w:tcW w:w="675" w:type="dxa"/>
          </w:tcPr>
          <w:p w:rsidR="007D6162" w:rsidRPr="00907A1B" w:rsidRDefault="007D6162" w:rsidP="00DB3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:rsidR="00205C70" w:rsidRPr="00907A1B" w:rsidRDefault="00160F3C" w:rsidP="00205C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ÁGUA MINERAL: natural, sem gás, inodora, insípida, acondicionada em </w:t>
            </w:r>
            <w:r w:rsidR="00D5415E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garrafa de</w:t>
            </w:r>
            <w:r w:rsidR="00EA36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A36AB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polipropileno</w:t>
            </w:r>
            <w:r w:rsidR="00EA36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 w:rsidR="00D5415E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500ml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, tampa com rosca, com validade mínima de 05 (cinco) meses a contar da data da entreg</w:t>
            </w:r>
            <w:r w:rsidR="00D5415E" w:rsidRPr="00907A1B">
              <w:rPr>
                <w:rFonts w:asciiTheme="minorHAnsi" w:hAnsiTheme="minorHAnsi" w:cstheme="minorHAnsi"/>
                <w:sz w:val="22"/>
                <w:szCs w:val="22"/>
              </w:rPr>
              <w:t>a. F</w:t>
            </w:r>
            <w:r w:rsidR="00205C70" w:rsidRPr="00907A1B">
              <w:rPr>
                <w:rFonts w:asciiTheme="minorHAnsi" w:hAnsiTheme="minorHAnsi" w:cstheme="minorHAnsi"/>
                <w:sz w:val="22"/>
                <w:szCs w:val="22"/>
              </w:rPr>
              <w:t>ardo com 12(doze) unidades.</w:t>
            </w:r>
          </w:p>
          <w:p w:rsidR="007D6162" w:rsidRPr="00907A1B" w:rsidRDefault="00160F3C" w:rsidP="00205C7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Devendo trazer no rótulo os dados de identificação, composição química características físico-químicas, fonte, data, local de envase e validade. </w:t>
            </w:r>
          </w:p>
        </w:tc>
        <w:tc>
          <w:tcPr>
            <w:tcW w:w="1312" w:type="dxa"/>
          </w:tcPr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6162" w:rsidRPr="00907A1B" w:rsidRDefault="00160F3C" w:rsidP="0020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FARDO </w:t>
            </w:r>
          </w:p>
        </w:tc>
        <w:tc>
          <w:tcPr>
            <w:tcW w:w="1418" w:type="dxa"/>
            <w:vAlign w:val="center"/>
          </w:tcPr>
          <w:p w:rsidR="007D6162" w:rsidRPr="00907A1B" w:rsidRDefault="00812968" w:rsidP="008129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4459</w:t>
            </w:r>
          </w:p>
        </w:tc>
      </w:tr>
      <w:tr w:rsidR="00D5415E" w:rsidRPr="00907A1B" w:rsidTr="00812968">
        <w:tc>
          <w:tcPr>
            <w:tcW w:w="675" w:type="dxa"/>
            <w:shd w:val="clear" w:color="auto" w:fill="auto"/>
          </w:tcPr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D5415E" w:rsidRPr="00907A1B" w:rsidRDefault="00D5415E" w:rsidP="00D5415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ÁGUA MINERAL:</w:t>
            </w:r>
            <w:r w:rsidR="00EA36AB"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 natural, sem gás, inodora, insípida, acondicionada em</w:t>
            </w:r>
            <w:r w:rsidR="00EA36AB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copo de polipropileno de 200 ml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, protetor na parte superior e lacre de segurança, personalizado pelo fabricante, sem avarias. Caixa </w:t>
            </w:r>
            <w:r w:rsidR="00907A1B" w:rsidRPr="00907A1B">
              <w:rPr>
                <w:rFonts w:asciiTheme="minorHAnsi" w:hAnsiTheme="minorHAnsi" w:cstheme="minorHAnsi"/>
                <w:sz w:val="22"/>
                <w:szCs w:val="22"/>
              </w:rPr>
              <w:t>com 48 unidades.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 Prazo de validade igual ou superior a 01 ano.</w:t>
            </w:r>
          </w:p>
        </w:tc>
        <w:tc>
          <w:tcPr>
            <w:tcW w:w="1312" w:type="dxa"/>
          </w:tcPr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CAIXA.</w:t>
            </w:r>
          </w:p>
        </w:tc>
        <w:tc>
          <w:tcPr>
            <w:tcW w:w="1418" w:type="dxa"/>
            <w:vAlign w:val="center"/>
          </w:tcPr>
          <w:p w:rsidR="00D5415E" w:rsidRPr="00907A1B" w:rsidRDefault="00812968" w:rsidP="008129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4691</w:t>
            </w:r>
          </w:p>
        </w:tc>
      </w:tr>
    </w:tbl>
    <w:p w:rsidR="000C1687" w:rsidRDefault="000C4B87" w:rsidP="000C1687">
      <w:pPr>
        <w:pStyle w:val="Pregaoquadromiol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7A1B">
        <w:rPr>
          <w:rFonts w:asciiTheme="minorHAnsi" w:hAnsiTheme="minorHAnsi" w:cstheme="minorHAnsi"/>
          <w:sz w:val="22"/>
          <w:szCs w:val="22"/>
        </w:rPr>
        <w:t>Observações:</w:t>
      </w:r>
    </w:p>
    <w:p w:rsidR="000C4B87" w:rsidRPr="00907A1B" w:rsidRDefault="000C4B87" w:rsidP="000C1687">
      <w:pPr>
        <w:pStyle w:val="Pregaoquadromiol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7A1B">
        <w:rPr>
          <w:rFonts w:asciiTheme="minorHAnsi" w:hAnsiTheme="minorHAnsi" w:cstheme="minorHAnsi"/>
          <w:sz w:val="22"/>
          <w:szCs w:val="22"/>
        </w:rPr>
        <w:t xml:space="preserve">A água mineral envasada deverá estar de acordo com o Decreto nº. 3.029, de 16/4/99, e Resoluções RDC nº. 274 e 275, de 22/9/05 e nº. 173, de 13/9/06, Portaria 387, de 19/09/08, Norma NBR/ABNT 14.222/05, Versão corrigida em 01/09/2009. Produto sujeito à verificação, no ato da entrega, aos procedimentos administrativos determinados pela Anvisa. </w:t>
      </w:r>
    </w:p>
    <w:p w:rsidR="007338C7" w:rsidRPr="00907A1B" w:rsidRDefault="007338C7" w:rsidP="007338C7">
      <w:pPr>
        <w:pStyle w:val="Pregaoquadromiolo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643AA" w:rsidRPr="00C83E12" w:rsidRDefault="008643AA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Maceió/AL, ___ de _______ de 201</w:t>
      </w:r>
      <w:r w:rsidR="009C5725" w:rsidRPr="00C83E12">
        <w:rPr>
          <w:rFonts w:asciiTheme="minorHAnsi" w:eastAsia="Calibri" w:hAnsiTheme="minorHAnsi" w:cstheme="minorHAnsi"/>
          <w:sz w:val="22"/>
          <w:szCs w:val="22"/>
        </w:rPr>
        <w:t>7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8479EF" w:rsidRDefault="008479EF" w:rsidP="008643AA">
      <w:pPr>
        <w:tabs>
          <w:tab w:val="left" w:pos="1475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C26F6" w:rsidRDefault="009C26F6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ANEXO II</w:t>
      </w:r>
    </w:p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Default="00B619B1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p w:rsidR="00B619B1" w:rsidRPr="00C83E12" w:rsidRDefault="00B619B1" w:rsidP="00C83E12">
      <w:pPr>
        <w:pStyle w:val="Corpodetexto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092"/>
        <w:gridCol w:w="6378"/>
      </w:tblGrid>
      <w:tr w:rsidR="005A608C" w:rsidRPr="00211C75" w:rsidTr="00567593">
        <w:trPr>
          <w:trHeight w:val="524"/>
        </w:trPr>
        <w:tc>
          <w:tcPr>
            <w:tcW w:w="2552" w:type="dxa"/>
            <w:gridSpan w:val="2"/>
          </w:tcPr>
          <w:p w:rsidR="005A608C" w:rsidRPr="00211C75" w:rsidRDefault="005A608C" w:rsidP="00B934E0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ÓRGÃO GERENCIADOR</w:t>
            </w:r>
          </w:p>
        </w:tc>
        <w:tc>
          <w:tcPr>
            <w:tcW w:w="6378" w:type="dxa"/>
          </w:tcPr>
          <w:p w:rsidR="005A608C" w:rsidRPr="00211C75" w:rsidRDefault="005A608C" w:rsidP="00475AF2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ENDEREÇO</w:t>
            </w:r>
          </w:p>
        </w:tc>
      </w:tr>
      <w:tr w:rsidR="005A608C" w:rsidRPr="00211C75" w:rsidTr="00567593">
        <w:trPr>
          <w:trHeight w:val="257"/>
        </w:trPr>
        <w:tc>
          <w:tcPr>
            <w:tcW w:w="460" w:type="dxa"/>
          </w:tcPr>
          <w:p w:rsidR="005A608C" w:rsidRPr="00211C75" w:rsidRDefault="005A608C" w:rsidP="00B934E0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ARSER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Rua Pedro Monteiro, Centro – Maceió/AL. CEP 57020-380</w:t>
            </w:r>
          </w:p>
        </w:tc>
      </w:tr>
      <w:tr w:rsidR="005A608C" w:rsidRPr="00211C75" w:rsidTr="00567593">
        <w:trPr>
          <w:trHeight w:val="353"/>
        </w:trPr>
        <w:tc>
          <w:tcPr>
            <w:tcW w:w="2552" w:type="dxa"/>
            <w:gridSpan w:val="2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ÓRGÃOS PARTICIPANTES</w:t>
            </w:r>
          </w:p>
        </w:tc>
        <w:tc>
          <w:tcPr>
            <w:tcW w:w="6378" w:type="dxa"/>
          </w:tcPr>
          <w:p w:rsidR="005A608C" w:rsidRPr="00D01C2A" w:rsidRDefault="005A608C" w:rsidP="00475AF2">
            <w:pPr>
              <w:tabs>
                <w:tab w:val="left" w:pos="1605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ENDEREÇO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SEMAS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Rua Oldemburgo Paranhos, Nº 597, Farol – Maceió/AL.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SMS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Dias Cabral, 569, Centro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57020-250 // Fone: (82) 3315-5180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SEMEC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Rua Pedro Monteiro, Nº 47, Centro – Maceió/AL.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SEMGE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Pedro Monteiro, 5, Centro.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57020-150 // Fone: (82) 3315-7115 / 7104 / 7113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GP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Rua Desembargador Almeida Guimarães, Nº 87, Pajuçara – Maceió/AL.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SEMED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Rua General Hermes, Nº 1199, Cambona – Maceió/AL. CEP 57017-000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SEMDS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GVP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Rua Jornalista Lafiete, Nº 47, Poço – Maceió/AL. CEP 57025690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PGM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SEMSC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t>Av. Theobaldo Barbosa, S/N, Conjunto Joaquim Leão, Vergel do Lago – Maceió/AL. CEP 57015000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SEMELJ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Sede administrativa: Rua São Francisco de Assis, 305, Jatiúca // 3315 2751 | Vila Olímpica: Av. Alice Karoline, 43, Cidade Universitária // 3354-1265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</w:rPr>
            </w:pPr>
          </w:p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SMTT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5A608C" w:rsidRPr="00211C75" w:rsidTr="00567593">
        <w:trPr>
          <w:trHeight w:val="353"/>
        </w:trPr>
        <w:tc>
          <w:tcPr>
            <w:tcW w:w="460" w:type="dxa"/>
          </w:tcPr>
          <w:p w:rsidR="005A608C" w:rsidRPr="00211C75" w:rsidRDefault="005A608C" w:rsidP="00B934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SEMTABES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Barão de Anadia, 85, Centro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IPREV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Comendador Palmeira, 502, Farol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SLUM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Praça Ciro Acioly, 96, Ponta Grossa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SIMA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CEP 57018-330 // Fones: (82) 3315-3821 / 6410 / 3828 Call Center: 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0800 031 9055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D01C2A">
              <w:rPr>
                <w:rFonts w:ascii="Calibri" w:hAnsi="Calibri"/>
                <w:color w:val="000000"/>
                <w:sz w:val="22"/>
                <w:szCs w:val="22"/>
              </w:rPr>
              <w:t>SEMPTUR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Av. da Paz, Nº 1.422, Centro – Maceió/AL. CEP 57020440.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92" w:type="dxa"/>
          </w:tcPr>
          <w:p w:rsidR="005A608C" w:rsidRPr="008135AB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 w:rsidRPr="008135AB">
              <w:rPr>
                <w:rFonts w:ascii="Calibri" w:hAnsi="Calibri"/>
                <w:color w:val="000000"/>
              </w:rPr>
              <w:t>SEMINFRA</w:t>
            </w:r>
          </w:p>
        </w:tc>
        <w:tc>
          <w:tcPr>
            <w:tcW w:w="6378" w:type="dxa"/>
          </w:tcPr>
          <w:p w:rsidR="005A608C" w:rsidRPr="00D01C2A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do Imperador, 307, Centro</w:t>
            </w:r>
            <w:r w:rsidRPr="00D01C2A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1C2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57023-060 // Fones: (82) 3315-5005 /3536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Pr="00D01C2A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92" w:type="dxa"/>
          </w:tcPr>
          <w:p w:rsidR="005A608C" w:rsidRPr="00D01C2A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SEDET</w:t>
            </w:r>
          </w:p>
        </w:tc>
        <w:tc>
          <w:tcPr>
            <w:tcW w:w="6378" w:type="dxa"/>
          </w:tcPr>
          <w:p w:rsidR="005A608C" w:rsidRPr="0013413F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3413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Avenida Governador Afrânio Lages, 297, Farol</w:t>
            </w:r>
            <w:r w:rsidRPr="0013413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3413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3413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57050-015 // Fones: (82) 3315-4754 /4750 /4761</w:t>
            </w:r>
          </w:p>
        </w:tc>
      </w:tr>
      <w:tr w:rsidR="005A608C" w:rsidRPr="00D01C2A" w:rsidTr="00567593">
        <w:trPr>
          <w:trHeight w:val="353"/>
        </w:trPr>
        <w:tc>
          <w:tcPr>
            <w:tcW w:w="460" w:type="dxa"/>
          </w:tcPr>
          <w:p w:rsidR="005A608C" w:rsidRDefault="005A608C" w:rsidP="00B934E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092" w:type="dxa"/>
          </w:tcPr>
          <w:p w:rsidR="005A608C" w:rsidRDefault="005A608C" w:rsidP="00B934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FMAC</w:t>
            </w:r>
          </w:p>
        </w:tc>
        <w:tc>
          <w:tcPr>
            <w:tcW w:w="6378" w:type="dxa"/>
          </w:tcPr>
          <w:p w:rsidR="005A608C" w:rsidRPr="008135AB" w:rsidRDefault="005A608C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8135A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Av. da Paz, 900, Jaraguá</w:t>
            </w:r>
            <w:r w:rsidRPr="008135AB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135A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8135A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57025-050 // Fones: (82) 3336-2357</w:t>
            </w:r>
          </w:p>
        </w:tc>
      </w:tr>
      <w:tr w:rsidR="005A1AB7" w:rsidRPr="00D01C2A" w:rsidTr="00567593">
        <w:trPr>
          <w:trHeight w:val="353"/>
        </w:trPr>
        <w:tc>
          <w:tcPr>
            <w:tcW w:w="460" w:type="dxa"/>
          </w:tcPr>
          <w:p w:rsidR="005A1AB7" w:rsidRDefault="0085003A" w:rsidP="00B934E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092" w:type="dxa"/>
          </w:tcPr>
          <w:p w:rsidR="005A1AB7" w:rsidRDefault="005A1AB7" w:rsidP="00B934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SMCI</w:t>
            </w:r>
          </w:p>
        </w:tc>
        <w:tc>
          <w:tcPr>
            <w:tcW w:w="6378" w:type="dxa"/>
          </w:tcPr>
          <w:p w:rsidR="005A1AB7" w:rsidRPr="008135AB" w:rsidRDefault="0085003A" w:rsidP="00B934E0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Av. Aristeu de Andrade, Nº 406, Farol – Maceió/AL.</w:t>
            </w:r>
          </w:p>
        </w:tc>
      </w:tr>
    </w:tbl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5872"/>
      <w:docPartObj>
        <w:docPartGallery w:val="Page Numbers (Bottom of Page)"/>
        <w:docPartUnique/>
      </w:docPartObj>
    </w:sdtPr>
    <w:sdtEndPr/>
    <w:sdtContent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6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102" w:rsidRDefault="00917102">
    <w:pPr>
      <w:pStyle w:val="Cabealho"/>
    </w:pPr>
  </w:p>
  <w:p w:rsidR="00917102" w:rsidRDefault="00917102">
    <w:pPr>
      <w:pStyle w:val="Cabealho"/>
    </w:pPr>
  </w:p>
  <w:p w:rsidR="00917102" w:rsidRDefault="00917102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7102" w:rsidRPr="006F4D79" w:rsidRDefault="00917102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917102" w:rsidRDefault="00917102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917102" w:rsidRDefault="0091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4"/>
  </w:num>
  <w:num w:numId="17">
    <w:abstractNumId w:val="1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7413"/>
    <w:rsid w:val="00020663"/>
    <w:rsid w:val="0002295C"/>
    <w:rsid w:val="000300E2"/>
    <w:rsid w:val="00033806"/>
    <w:rsid w:val="00035747"/>
    <w:rsid w:val="00037458"/>
    <w:rsid w:val="00040506"/>
    <w:rsid w:val="00064679"/>
    <w:rsid w:val="00071EB0"/>
    <w:rsid w:val="00080E64"/>
    <w:rsid w:val="000825D4"/>
    <w:rsid w:val="000961D7"/>
    <w:rsid w:val="000A0A12"/>
    <w:rsid w:val="000A2DC6"/>
    <w:rsid w:val="000C1687"/>
    <w:rsid w:val="000C4B87"/>
    <w:rsid w:val="000D5A04"/>
    <w:rsid w:val="000D62D0"/>
    <w:rsid w:val="000D7246"/>
    <w:rsid w:val="000E11D1"/>
    <w:rsid w:val="000E509B"/>
    <w:rsid w:val="000F7AAD"/>
    <w:rsid w:val="000F7D31"/>
    <w:rsid w:val="00102145"/>
    <w:rsid w:val="001035FC"/>
    <w:rsid w:val="0010546C"/>
    <w:rsid w:val="00107888"/>
    <w:rsid w:val="001111BA"/>
    <w:rsid w:val="00115EB3"/>
    <w:rsid w:val="00121408"/>
    <w:rsid w:val="00134B23"/>
    <w:rsid w:val="0013797C"/>
    <w:rsid w:val="00142090"/>
    <w:rsid w:val="001446B6"/>
    <w:rsid w:val="00152A71"/>
    <w:rsid w:val="00153FA4"/>
    <w:rsid w:val="00160F3C"/>
    <w:rsid w:val="00171C02"/>
    <w:rsid w:val="001817FE"/>
    <w:rsid w:val="0019629D"/>
    <w:rsid w:val="001969BD"/>
    <w:rsid w:val="001A0045"/>
    <w:rsid w:val="001A767A"/>
    <w:rsid w:val="001B5B08"/>
    <w:rsid w:val="001C000E"/>
    <w:rsid w:val="001C173F"/>
    <w:rsid w:val="001C572A"/>
    <w:rsid w:val="001D3B68"/>
    <w:rsid w:val="001E42C4"/>
    <w:rsid w:val="001E524A"/>
    <w:rsid w:val="001E590A"/>
    <w:rsid w:val="001F7172"/>
    <w:rsid w:val="00205C70"/>
    <w:rsid w:val="002155F1"/>
    <w:rsid w:val="00215A76"/>
    <w:rsid w:val="00216FD3"/>
    <w:rsid w:val="00217631"/>
    <w:rsid w:val="002207B0"/>
    <w:rsid w:val="002222A9"/>
    <w:rsid w:val="00222AE4"/>
    <w:rsid w:val="00223CF7"/>
    <w:rsid w:val="00225731"/>
    <w:rsid w:val="00230705"/>
    <w:rsid w:val="00230830"/>
    <w:rsid w:val="002324F9"/>
    <w:rsid w:val="0023469E"/>
    <w:rsid w:val="00236394"/>
    <w:rsid w:val="00243EBE"/>
    <w:rsid w:val="00244606"/>
    <w:rsid w:val="002456A0"/>
    <w:rsid w:val="002531CA"/>
    <w:rsid w:val="002576B4"/>
    <w:rsid w:val="00261C1B"/>
    <w:rsid w:val="00270A60"/>
    <w:rsid w:val="00270DAF"/>
    <w:rsid w:val="002751AD"/>
    <w:rsid w:val="00283CE2"/>
    <w:rsid w:val="00283E55"/>
    <w:rsid w:val="00297070"/>
    <w:rsid w:val="0029715A"/>
    <w:rsid w:val="002A24E3"/>
    <w:rsid w:val="002B2792"/>
    <w:rsid w:val="002D4F4B"/>
    <w:rsid w:val="002E21BF"/>
    <w:rsid w:val="00307063"/>
    <w:rsid w:val="00314BED"/>
    <w:rsid w:val="003168F7"/>
    <w:rsid w:val="00326203"/>
    <w:rsid w:val="00326814"/>
    <w:rsid w:val="0032691B"/>
    <w:rsid w:val="00346BA8"/>
    <w:rsid w:val="0035017E"/>
    <w:rsid w:val="003516E6"/>
    <w:rsid w:val="00351B41"/>
    <w:rsid w:val="003546C5"/>
    <w:rsid w:val="00361777"/>
    <w:rsid w:val="003668B7"/>
    <w:rsid w:val="00380E9E"/>
    <w:rsid w:val="003843FA"/>
    <w:rsid w:val="003849F5"/>
    <w:rsid w:val="003853A2"/>
    <w:rsid w:val="00385A25"/>
    <w:rsid w:val="00386243"/>
    <w:rsid w:val="003B1C34"/>
    <w:rsid w:val="003B5F59"/>
    <w:rsid w:val="003C02E0"/>
    <w:rsid w:val="003C2DF3"/>
    <w:rsid w:val="003C585D"/>
    <w:rsid w:val="003D3C87"/>
    <w:rsid w:val="003D619A"/>
    <w:rsid w:val="003E06B2"/>
    <w:rsid w:val="003E1C7B"/>
    <w:rsid w:val="003E34C7"/>
    <w:rsid w:val="003E7EC7"/>
    <w:rsid w:val="003F1BE1"/>
    <w:rsid w:val="003F6D87"/>
    <w:rsid w:val="004024A0"/>
    <w:rsid w:val="00403868"/>
    <w:rsid w:val="00404291"/>
    <w:rsid w:val="00405C04"/>
    <w:rsid w:val="0040603D"/>
    <w:rsid w:val="00416659"/>
    <w:rsid w:val="0042310B"/>
    <w:rsid w:val="00424996"/>
    <w:rsid w:val="004318B3"/>
    <w:rsid w:val="00475AF2"/>
    <w:rsid w:val="00477F74"/>
    <w:rsid w:val="00493157"/>
    <w:rsid w:val="004944AE"/>
    <w:rsid w:val="00494903"/>
    <w:rsid w:val="004A26D3"/>
    <w:rsid w:val="004A28E8"/>
    <w:rsid w:val="004A61E6"/>
    <w:rsid w:val="004A78E6"/>
    <w:rsid w:val="004B15B5"/>
    <w:rsid w:val="004B6DD0"/>
    <w:rsid w:val="004B713B"/>
    <w:rsid w:val="004C0328"/>
    <w:rsid w:val="004C0A21"/>
    <w:rsid w:val="004D0E5A"/>
    <w:rsid w:val="004D11B4"/>
    <w:rsid w:val="004D2251"/>
    <w:rsid w:val="004D2E8F"/>
    <w:rsid w:val="004E0360"/>
    <w:rsid w:val="004E2F3B"/>
    <w:rsid w:val="004E372D"/>
    <w:rsid w:val="004F5276"/>
    <w:rsid w:val="005050C4"/>
    <w:rsid w:val="005152DE"/>
    <w:rsid w:val="00520F47"/>
    <w:rsid w:val="00524260"/>
    <w:rsid w:val="00526F97"/>
    <w:rsid w:val="00527363"/>
    <w:rsid w:val="00541FFA"/>
    <w:rsid w:val="005448E9"/>
    <w:rsid w:val="005453CA"/>
    <w:rsid w:val="00552BE9"/>
    <w:rsid w:val="0055421E"/>
    <w:rsid w:val="00556C06"/>
    <w:rsid w:val="0056084C"/>
    <w:rsid w:val="005667E7"/>
    <w:rsid w:val="00567593"/>
    <w:rsid w:val="005736E0"/>
    <w:rsid w:val="00584D36"/>
    <w:rsid w:val="00590240"/>
    <w:rsid w:val="005A1AB7"/>
    <w:rsid w:val="005A2A2A"/>
    <w:rsid w:val="005A608C"/>
    <w:rsid w:val="005A6A23"/>
    <w:rsid w:val="005A76AB"/>
    <w:rsid w:val="005B1C74"/>
    <w:rsid w:val="005B4E69"/>
    <w:rsid w:val="005C20E6"/>
    <w:rsid w:val="005C2338"/>
    <w:rsid w:val="005C7A26"/>
    <w:rsid w:val="005D1071"/>
    <w:rsid w:val="005D3E0D"/>
    <w:rsid w:val="005E215A"/>
    <w:rsid w:val="005E40C5"/>
    <w:rsid w:val="005F0668"/>
    <w:rsid w:val="005F62A7"/>
    <w:rsid w:val="00601DF5"/>
    <w:rsid w:val="00602E21"/>
    <w:rsid w:val="00615520"/>
    <w:rsid w:val="00616035"/>
    <w:rsid w:val="00624CA4"/>
    <w:rsid w:val="00631B3B"/>
    <w:rsid w:val="006350A8"/>
    <w:rsid w:val="00647953"/>
    <w:rsid w:val="0065650A"/>
    <w:rsid w:val="00660C85"/>
    <w:rsid w:val="00675EFC"/>
    <w:rsid w:val="00685DB8"/>
    <w:rsid w:val="00693981"/>
    <w:rsid w:val="00696865"/>
    <w:rsid w:val="006A2897"/>
    <w:rsid w:val="006A34E9"/>
    <w:rsid w:val="006B13F7"/>
    <w:rsid w:val="006B2A0A"/>
    <w:rsid w:val="006B4183"/>
    <w:rsid w:val="006C182D"/>
    <w:rsid w:val="006C26FC"/>
    <w:rsid w:val="006C342F"/>
    <w:rsid w:val="006E115D"/>
    <w:rsid w:val="006E60BB"/>
    <w:rsid w:val="006F1391"/>
    <w:rsid w:val="006F4619"/>
    <w:rsid w:val="006F4627"/>
    <w:rsid w:val="006F55E1"/>
    <w:rsid w:val="00703B24"/>
    <w:rsid w:val="00715832"/>
    <w:rsid w:val="00716CA3"/>
    <w:rsid w:val="007338C7"/>
    <w:rsid w:val="00735377"/>
    <w:rsid w:val="007451C4"/>
    <w:rsid w:val="00746689"/>
    <w:rsid w:val="00750C5B"/>
    <w:rsid w:val="00753F17"/>
    <w:rsid w:val="00756260"/>
    <w:rsid w:val="00762721"/>
    <w:rsid w:val="00775BEF"/>
    <w:rsid w:val="00781735"/>
    <w:rsid w:val="007831FF"/>
    <w:rsid w:val="00792BF9"/>
    <w:rsid w:val="00796236"/>
    <w:rsid w:val="007A1466"/>
    <w:rsid w:val="007A75C8"/>
    <w:rsid w:val="007B1DB9"/>
    <w:rsid w:val="007B4201"/>
    <w:rsid w:val="007B6D58"/>
    <w:rsid w:val="007D1921"/>
    <w:rsid w:val="007D6162"/>
    <w:rsid w:val="007E0EFA"/>
    <w:rsid w:val="007E4906"/>
    <w:rsid w:val="007F7F1A"/>
    <w:rsid w:val="00800B7F"/>
    <w:rsid w:val="00803B89"/>
    <w:rsid w:val="00812968"/>
    <w:rsid w:val="008202A2"/>
    <w:rsid w:val="00821F29"/>
    <w:rsid w:val="00822A3A"/>
    <w:rsid w:val="00825C3C"/>
    <w:rsid w:val="00826BF5"/>
    <w:rsid w:val="00834A48"/>
    <w:rsid w:val="0083730E"/>
    <w:rsid w:val="008479EF"/>
    <w:rsid w:val="0085003A"/>
    <w:rsid w:val="00850874"/>
    <w:rsid w:val="00853565"/>
    <w:rsid w:val="00854B6A"/>
    <w:rsid w:val="00856144"/>
    <w:rsid w:val="008643AA"/>
    <w:rsid w:val="008733D9"/>
    <w:rsid w:val="008749B1"/>
    <w:rsid w:val="00877B80"/>
    <w:rsid w:val="00883B21"/>
    <w:rsid w:val="00887169"/>
    <w:rsid w:val="008902E9"/>
    <w:rsid w:val="008952FF"/>
    <w:rsid w:val="008A1200"/>
    <w:rsid w:val="008A2484"/>
    <w:rsid w:val="008A45F9"/>
    <w:rsid w:val="008A6253"/>
    <w:rsid w:val="008C2D6E"/>
    <w:rsid w:val="008C7334"/>
    <w:rsid w:val="008C741C"/>
    <w:rsid w:val="008E3F81"/>
    <w:rsid w:val="008F2125"/>
    <w:rsid w:val="008F3F2F"/>
    <w:rsid w:val="008F4A8F"/>
    <w:rsid w:val="008F58BF"/>
    <w:rsid w:val="009037F7"/>
    <w:rsid w:val="00906AFF"/>
    <w:rsid w:val="00907A1B"/>
    <w:rsid w:val="00912055"/>
    <w:rsid w:val="00917102"/>
    <w:rsid w:val="009172D1"/>
    <w:rsid w:val="00920EDA"/>
    <w:rsid w:val="00925651"/>
    <w:rsid w:val="00925975"/>
    <w:rsid w:val="00925A2D"/>
    <w:rsid w:val="00931BB9"/>
    <w:rsid w:val="009361E9"/>
    <w:rsid w:val="009616D2"/>
    <w:rsid w:val="009877CB"/>
    <w:rsid w:val="00987F64"/>
    <w:rsid w:val="00990800"/>
    <w:rsid w:val="009930CB"/>
    <w:rsid w:val="00993983"/>
    <w:rsid w:val="009A1591"/>
    <w:rsid w:val="009A6D8B"/>
    <w:rsid w:val="009B1A1F"/>
    <w:rsid w:val="009B5B1B"/>
    <w:rsid w:val="009C26F6"/>
    <w:rsid w:val="009C3133"/>
    <w:rsid w:val="009C3D59"/>
    <w:rsid w:val="009C5725"/>
    <w:rsid w:val="009D1610"/>
    <w:rsid w:val="009D60EE"/>
    <w:rsid w:val="009E64E0"/>
    <w:rsid w:val="00A00E6B"/>
    <w:rsid w:val="00A01C40"/>
    <w:rsid w:val="00A03249"/>
    <w:rsid w:val="00A14EEF"/>
    <w:rsid w:val="00A16D2F"/>
    <w:rsid w:val="00A22C8F"/>
    <w:rsid w:val="00A2673A"/>
    <w:rsid w:val="00A32EA9"/>
    <w:rsid w:val="00A340E6"/>
    <w:rsid w:val="00A4325F"/>
    <w:rsid w:val="00A52A1A"/>
    <w:rsid w:val="00A53A2E"/>
    <w:rsid w:val="00A56293"/>
    <w:rsid w:val="00A65061"/>
    <w:rsid w:val="00A667F5"/>
    <w:rsid w:val="00A70155"/>
    <w:rsid w:val="00A73385"/>
    <w:rsid w:val="00A753FB"/>
    <w:rsid w:val="00A75851"/>
    <w:rsid w:val="00A91205"/>
    <w:rsid w:val="00A914D0"/>
    <w:rsid w:val="00AA4789"/>
    <w:rsid w:val="00AB2C66"/>
    <w:rsid w:val="00AC0548"/>
    <w:rsid w:val="00AC6412"/>
    <w:rsid w:val="00AE1041"/>
    <w:rsid w:val="00AE1C16"/>
    <w:rsid w:val="00B11F61"/>
    <w:rsid w:val="00B160EC"/>
    <w:rsid w:val="00B23570"/>
    <w:rsid w:val="00B27867"/>
    <w:rsid w:val="00B32AED"/>
    <w:rsid w:val="00B34CD5"/>
    <w:rsid w:val="00B44EA8"/>
    <w:rsid w:val="00B471F8"/>
    <w:rsid w:val="00B55A97"/>
    <w:rsid w:val="00B619B1"/>
    <w:rsid w:val="00B63A5E"/>
    <w:rsid w:val="00B67A6C"/>
    <w:rsid w:val="00B71069"/>
    <w:rsid w:val="00B72A0A"/>
    <w:rsid w:val="00B755A7"/>
    <w:rsid w:val="00B86260"/>
    <w:rsid w:val="00BA5328"/>
    <w:rsid w:val="00BC0E88"/>
    <w:rsid w:val="00BD1643"/>
    <w:rsid w:val="00BD2A9F"/>
    <w:rsid w:val="00BD2FCA"/>
    <w:rsid w:val="00BE016F"/>
    <w:rsid w:val="00BE137A"/>
    <w:rsid w:val="00BE1BEB"/>
    <w:rsid w:val="00BE62E9"/>
    <w:rsid w:val="00BE7220"/>
    <w:rsid w:val="00BF2564"/>
    <w:rsid w:val="00BF47BD"/>
    <w:rsid w:val="00C10065"/>
    <w:rsid w:val="00C1587C"/>
    <w:rsid w:val="00C26C41"/>
    <w:rsid w:val="00C302D0"/>
    <w:rsid w:val="00C30D1E"/>
    <w:rsid w:val="00C34860"/>
    <w:rsid w:val="00C34BBD"/>
    <w:rsid w:val="00C41E55"/>
    <w:rsid w:val="00C4586E"/>
    <w:rsid w:val="00C47586"/>
    <w:rsid w:val="00C54ADB"/>
    <w:rsid w:val="00C643C2"/>
    <w:rsid w:val="00C72473"/>
    <w:rsid w:val="00C80662"/>
    <w:rsid w:val="00C83E12"/>
    <w:rsid w:val="00C840E0"/>
    <w:rsid w:val="00C877CD"/>
    <w:rsid w:val="00C96F3B"/>
    <w:rsid w:val="00CA7E3D"/>
    <w:rsid w:val="00CB341B"/>
    <w:rsid w:val="00CC2B78"/>
    <w:rsid w:val="00CC7021"/>
    <w:rsid w:val="00CD03DA"/>
    <w:rsid w:val="00CD3F2C"/>
    <w:rsid w:val="00CE7103"/>
    <w:rsid w:val="00CF28A9"/>
    <w:rsid w:val="00CF3941"/>
    <w:rsid w:val="00D009CE"/>
    <w:rsid w:val="00D03D04"/>
    <w:rsid w:val="00D03FC4"/>
    <w:rsid w:val="00D122DC"/>
    <w:rsid w:val="00D25321"/>
    <w:rsid w:val="00D261BB"/>
    <w:rsid w:val="00D40EA8"/>
    <w:rsid w:val="00D5415E"/>
    <w:rsid w:val="00D66255"/>
    <w:rsid w:val="00D751F6"/>
    <w:rsid w:val="00D874F1"/>
    <w:rsid w:val="00D913C5"/>
    <w:rsid w:val="00D91BBD"/>
    <w:rsid w:val="00D971BB"/>
    <w:rsid w:val="00DA21E7"/>
    <w:rsid w:val="00DB2169"/>
    <w:rsid w:val="00DB3988"/>
    <w:rsid w:val="00DC528D"/>
    <w:rsid w:val="00DE3BD1"/>
    <w:rsid w:val="00DE589C"/>
    <w:rsid w:val="00DF2CB3"/>
    <w:rsid w:val="00DF57FF"/>
    <w:rsid w:val="00E00EC4"/>
    <w:rsid w:val="00E04B31"/>
    <w:rsid w:val="00E1625A"/>
    <w:rsid w:val="00E26B09"/>
    <w:rsid w:val="00E33357"/>
    <w:rsid w:val="00E36A81"/>
    <w:rsid w:val="00E4000B"/>
    <w:rsid w:val="00E40ADA"/>
    <w:rsid w:val="00E454F8"/>
    <w:rsid w:val="00E54141"/>
    <w:rsid w:val="00E54B9E"/>
    <w:rsid w:val="00E621F9"/>
    <w:rsid w:val="00E63535"/>
    <w:rsid w:val="00E7513A"/>
    <w:rsid w:val="00E760AB"/>
    <w:rsid w:val="00E806E5"/>
    <w:rsid w:val="00E81CD0"/>
    <w:rsid w:val="00E87B0D"/>
    <w:rsid w:val="00E942DD"/>
    <w:rsid w:val="00E94BC3"/>
    <w:rsid w:val="00EA36AB"/>
    <w:rsid w:val="00EB73CC"/>
    <w:rsid w:val="00EC38EB"/>
    <w:rsid w:val="00EC5AA2"/>
    <w:rsid w:val="00EF6583"/>
    <w:rsid w:val="00F12446"/>
    <w:rsid w:val="00F14A3F"/>
    <w:rsid w:val="00F15F43"/>
    <w:rsid w:val="00F2112A"/>
    <w:rsid w:val="00F21F62"/>
    <w:rsid w:val="00F42030"/>
    <w:rsid w:val="00F43CD0"/>
    <w:rsid w:val="00F471C8"/>
    <w:rsid w:val="00F523E3"/>
    <w:rsid w:val="00F52865"/>
    <w:rsid w:val="00F601B5"/>
    <w:rsid w:val="00F61DB6"/>
    <w:rsid w:val="00F63539"/>
    <w:rsid w:val="00F92EE9"/>
    <w:rsid w:val="00F93D87"/>
    <w:rsid w:val="00F95AE4"/>
    <w:rsid w:val="00FA0016"/>
    <w:rsid w:val="00FB5818"/>
    <w:rsid w:val="00FB6D5E"/>
    <w:rsid w:val="00FC7432"/>
    <w:rsid w:val="00FD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CEAF-17BF-4678-9B1F-A28CCE02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4234</Words>
  <Characters>22869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40</cp:revision>
  <cp:lastPrinted>2017-01-25T12:21:00Z</cp:lastPrinted>
  <dcterms:created xsi:type="dcterms:W3CDTF">2017-04-19T17:52:00Z</dcterms:created>
  <dcterms:modified xsi:type="dcterms:W3CDTF">2017-07-24T12:32:00Z</dcterms:modified>
</cp:coreProperties>
</file>