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D43C51">
        <w:rPr>
          <w:rFonts w:ascii="Times New Roman" w:hAnsi="Times New Roman" w:cs="Times New Roman"/>
          <w:b/>
        </w:rPr>
        <w:t>7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D43C51">
        <w:rPr>
          <w:rFonts w:ascii="Times New Roman" w:hAnsi="Times New Roman" w:cs="Times New Roman"/>
        </w:rPr>
        <w:t>001902</w:t>
      </w:r>
      <w:r w:rsidR="00A160D1">
        <w:rPr>
          <w:rFonts w:ascii="Times New Roman" w:hAnsi="Times New Roman" w:cs="Times New Roman"/>
        </w:rPr>
        <w:t>/201</w:t>
      </w:r>
      <w:r w:rsidR="00D43C51">
        <w:rPr>
          <w:rFonts w:ascii="Times New Roman" w:hAnsi="Times New Roman" w:cs="Times New Roman"/>
        </w:rPr>
        <w:t>8</w:t>
      </w:r>
      <w:r w:rsidR="0043060B">
        <w:rPr>
          <w:rFonts w:ascii="Times New Roman" w:hAnsi="Times New Roman" w:cs="Times New Roman"/>
        </w:rPr>
        <w:t>.</w:t>
      </w:r>
    </w:p>
    <w:p w:rsidR="00AD6348" w:rsidRDefault="00ED7D63" w:rsidP="0043060B">
      <w:pPr>
        <w:spacing w:after="0"/>
        <w:jc w:val="both"/>
        <w:rPr>
          <w:rFonts w:cstheme="minorHAnsi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bookmarkStart w:id="0" w:name="_GoBack"/>
      <w:r w:rsidR="00D43C51" w:rsidRPr="00210C70">
        <w:rPr>
          <w:rFonts w:ascii="Times New Roman" w:hAnsi="Times New Roman" w:cs="Times New Roman"/>
        </w:rPr>
        <w:t xml:space="preserve">Registro de Preços para futura e eventual aquisição de Carimbos </w:t>
      </w:r>
      <w:proofErr w:type="spellStart"/>
      <w:r w:rsidR="00D43C51" w:rsidRPr="00210C70">
        <w:rPr>
          <w:rFonts w:ascii="Times New Roman" w:hAnsi="Times New Roman" w:cs="Times New Roman"/>
        </w:rPr>
        <w:t>auto-entintáveis</w:t>
      </w:r>
      <w:proofErr w:type="spellEnd"/>
      <w:r w:rsidR="00D43C51" w:rsidRPr="00210C70">
        <w:rPr>
          <w:rFonts w:ascii="Times New Roman" w:hAnsi="Times New Roman" w:cs="Times New Roman"/>
        </w:rPr>
        <w:t>, de placas de texto confeccionadas em borracha a laser, e de refis, mediante fornecimento parcelado, durante o exercício de 2018, para atendimento aos diversos Órgãos e Entidades da Administração Pública do Município de Maceió, nas especificações e quantidades constantes no Anexo I do Termo de Referência.</w:t>
      </w:r>
      <w:bookmarkEnd w:id="0"/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9B6415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210C70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43C51">
        <w:rPr>
          <w:rFonts w:ascii="Times New Roman" w:hAnsi="Times New Roman" w:cs="Times New Roman"/>
        </w:rPr>
        <w:t>16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43C51">
        <w:rPr>
          <w:rFonts w:ascii="Times New Roman" w:hAnsi="Times New Roman" w:cs="Times New Roman"/>
        </w:rPr>
        <w:t>Abril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10C70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1A1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6348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901D9"/>
    <w:rsid w:val="00CB335D"/>
    <w:rsid w:val="00D02776"/>
    <w:rsid w:val="00D1291E"/>
    <w:rsid w:val="00D21FEF"/>
    <w:rsid w:val="00D41827"/>
    <w:rsid w:val="00D43C51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8313E-F2A1-4DA2-B3F6-F0E1149E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98</cp:revision>
  <cp:lastPrinted>2017-02-08T15:15:00Z</cp:lastPrinted>
  <dcterms:created xsi:type="dcterms:W3CDTF">2017-02-08T15:07:00Z</dcterms:created>
  <dcterms:modified xsi:type="dcterms:W3CDTF">2018-04-16T17:02:00Z</dcterms:modified>
</cp:coreProperties>
</file>