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  <w:r w:rsidRPr="00C007BF">
        <w:rPr>
          <w:rFonts w:asciiTheme="minorHAnsi" w:hAnsiTheme="minorHAnsi"/>
          <w:b/>
          <w:sz w:val="22"/>
          <w:szCs w:val="22"/>
          <w:u w:val="single"/>
        </w:rPr>
        <w:t>TERMO DE REFERÊNCIA</w:t>
      </w:r>
    </w:p>
    <w:p w:rsidR="00C26C41" w:rsidRPr="00C007BF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Theme="minorHAnsi" w:hAnsiTheme="minorHAnsi"/>
          <w:b/>
          <w:sz w:val="22"/>
          <w:szCs w:val="22"/>
          <w:u w:val="single"/>
        </w:rPr>
      </w:pP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>DO OBJETO</w:t>
      </w:r>
    </w:p>
    <w:p w:rsidR="00C26C41" w:rsidRPr="00C007BF" w:rsidRDefault="00C26C41" w:rsidP="009B73AC">
      <w:pPr>
        <w:pStyle w:val="Ttulo4"/>
        <w:keepLines w:val="0"/>
        <w:numPr>
          <w:ilvl w:val="1"/>
          <w:numId w:val="2"/>
        </w:numPr>
        <w:spacing w:before="0"/>
        <w:ind w:left="426" w:hanging="426"/>
        <w:jc w:val="both"/>
        <w:rPr>
          <w:rFonts w:asciiTheme="minorHAnsi" w:hAnsiTheme="minorHAnsi"/>
          <w:b w:val="0"/>
          <w:i w:val="0"/>
          <w:color w:val="auto"/>
          <w:sz w:val="22"/>
          <w:szCs w:val="22"/>
        </w:rPr>
      </w:pP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Registro de Preços para futura e eventual 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aquisição de carimbos auto-entintáveis, de placas de texto confeccionadas em borracha </w:t>
      </w:r>
      <w:r w:rsidR="00602E2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a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laser, e de refis</w:t>
      </w:r>
      <w:r w:rsidR="00602E2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>,</w:t>
      </w:r>
      <w:r w:rsidR="00A75851" w:rsidRPr="00C007BF">
        <w:rPr>
          <w:rFonts w:asciiTheme="minorHAnsi" w:hAnsiTheme="minorHAnsi" w:cstheme="minorHAnsi"/>
          <w:b w:val="0"/>
          <w:i w:val="0"/>
          <w:color w:val="auto"/>
          <w:sz w:val="22"/>
          <w:szCs w:val="22"/>
        </w:rPr>
        <w:t xml:space="preserve"> mediante fornecimento parcelado, durante o exercício de 2017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, para atendimento </w:t>
      </w:r>
      <w:r w:rsidR="00A75851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 xml:space="preserve">aos diversos Órgãos e Entidades da Administração Pública </w:t>
      </w:r>
      <w:r w:rsidR="00385A25"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do Município de Maceió</w:t>
      </w:r>
      <w:r w:rsidRPr="00C007BF">
        <w:rPr>
          <w:rFonts w:asciiTheme="minorHAnsi" w:hAnsiTheme="minorHAnsi"/>
          <w:b w:val="0"/>
          <w:i w:val="0"/>
          <w:color w:val="auto"/>
          <w:sz w:val="22"/>
          <w:szCs w:val="22"/>
        </w:rPr>
        <w:t>, nas especificações e quantidades constantes no Anexo I deste Termo de Referência.</w:t>
      </w:r>
    </w:p>
    <w:p w:rsidR="00D31A2E" w:rsidRPr="00C007BF" w:rsidRDefault="00D31A2E" w:rsidP="00D31A2E">
      <w:pPr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9B73AC">
      <w:pPr>
        <w:pStyle w:val="Ttulo4"/>
        <w:keepLines w:val="0"/>
        <w:numPr>
          <w:ilvl w:val="0"/>
          <w:numId w:val="2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C007BF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Município de Maceió tem por competência institucional a promoção e execução de licitações no âmbito do Município, conferindo a Agência Municipal de Regulação de Serviços Delegados - ARSER a execução desta tarefa, tudo de acordo com o que dispõe a Lei Municipal nº 6.592</w:t>
      </w:r>
      <w:r w:rsidR="00602E21" w:rsidRPr="00C007BF">
        <w:rPr>
          <w:rFonts w:asciiTheme="minorHAnsi" w:hAnsiTheme="minorHAnsi"/>
          <w:sz w:val="22"/>
          <w:szCs w:val="22"/>
        </w:rPr>
        <w:t>/2016.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No âmbito da ARSER está a competência de planejamento, coordenação e controle de procedimentos de compras centralizadas de serviços e materiais de uso comum para atendimento às demandas de todos os órgãos da </w:t>
      </w:r>
      <w:r w:rsidR="00602E21" w:rsidRPr="00C007BF">
        <w:rPr>
          <w:rFonts w:asciiTheme="minorHAnsi" w:hAnsiTheme="minorHAnsi"/>
          <w:sz w:val="22"/>
          <w:szCs w:val="22"/>
        </w:rPr>
        <w:t xml:space="preserve">Administração Pública </w:t>
      </w:r>
      <w:r w:rsidRPr="00C007BF">
        <w:rPr>
          <w:rFonts w:asciiTheme="minorHAnsi" w:hAnsiTheme="minorHAnsi"/>
          <w:sz w:val="22"/>
          <w:szCs w:val="22"/>
        </w:rPr>
        <w:t>Municipal.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proofErr w:type="gramStart"/>
      <w:r w:rsidRPr="00C007BF">
        <w:rPr>
          <w:rFonts w:asciiTheme="minorHAnsi" w:hAnsiTheme="minorHAnsi"/>
          <w:sz w:val="22"/>
          <w:szCs w:val="22"/>
        </w:rPr>
        <w:t>A unificação e centralização do procedimento de aquisição de materiais e serviços proporciona</w:t>
      </w:r>
      <w:proofErr w:type="gramEnd"/>
      <w:r w:rsidRPr="00C007BF">
        <w:rPr>
          <w:rFonts w:asciiTheme="minorHAnsi" w:hAnsiTheme="minorHAns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 w:rsidRPr="00C007BF">
        <w:rPr>
          <w:rFonts w:asciiTheme="minorHAnsi" w:hAnsiTheme="minorHAnsi"/>
          <w:sz w:val="22"/>
          <w:szCs w:val="22"/>
        </w:rPr>
        <w:t>possibilitam</w:t>
      </w:r>
      <w:proofErr w:type="gramEnd"/>
      <w:r w:rsidRPr="00C007BF">
        <w:rPr>
          <w:rFonts w:asciiTheme="minorHAnsi" w:hAnsiTheme="minorHAns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7F7F1A" w:rsidRPr="00C007BF" w:rsidRDefault="007F7F1A" w:rsidP="007F7F1A">
      <w:pPr>
        <w:numPr>
          <w:ilvl w:val="1"/>
          <w:numId w:val="6"/>
        </w:numPr>
        <w:spacing w:after="24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A vigência da Ata de Registro de Preços é de 12 (doze) meses;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É dispensável a dotação orçamentária para iniciar a licitação;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Possibilidade de atendimento aos variados tipos de demandas;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de volume de estoque;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do número de licitações;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Redução dos custos de processamento de licitação;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Previsão de aquisições frequentes do produto a ser licitado, diante de suas características e natureza;</w:t>
      </w:r>
    </w:p>
    <w:p w:rsidR="007F7F1A" w:rsidRPr="00C007BF" w:rsidRDefault="007F7F1A" w:rsidP="007F7F1A">
      <w:pPr>
        <w:numPr>
          <w:ilvl w:val="0"/>
          <w:numId w:val="4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Impossibilidade de definir previamente a quantidade exata do objeto a ser adquirido.</w:t>
      </w:r>
    </w:p>
    <w:p w:rsidR="007F7F1A" w:rsidRPr="00C007BF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Nesse sentido, visando atender a demanda interna dos Órgãos e Entidades municipais, será mapeada demanda relativa </w:t>
      </w:r>
      <w:r w:rsidRPr="00C007BF">
        <w:rPr>
          <w:rFonts w:asciiTheme="minorHAnsi" w:hAnsiTheme="minorHAnsi" w:cstheme="minorHAnsi"/>
          <w:sz w:val="22"/>
          <w:szCs w:val="22"/>
        </w:rPr>
        <w:t xml:space="preserve">aquisição de carimbos auto-entintáveis, de placas de texto confeccionadas em borracha </w:t>
      </w:r>
      <w:r w:rsidR="00602E21" w:rsidRPr="00C007BF">
        <w:rPr>
          <w:rFonts w:asciiTheme="minorHAnsi" w:hAnsiTheme="minorHAnsi" w:cstheme="minorHAnsi"/>
          <w:sz w:val="22"/>
          <w:szCs w:val="22"/>
        </w:rPr>
        <w:t>a</w:t>
      </w:r>
      <w:r w:rsidRPr="00C007BF">
        <w:rPr>
          <w:rFonts w:asciiTheme="minorHAnsi" w:hAnsiTheme="minorHAnsi" w:cstheme="minorHAnsi"/>
          <w:sz w:val="22"/>
          <w:szCs w:val="22"/>
        </w:rPr>
        <w:t xml:space="preserve"> laser e de refis, para</w:t>
      </w:r>
      <w:r w:rsidRPr="00C007BF">
        <w:rPr>
          <w:rFonts w:asciiTheme="minorHAnsi" w:hAnsiTheme="minorHAnsi"/>
          <w:sz w:val="22"/>
          <w:szCs w:val="22"/>
        </w:rPr>
        <w:t xml:space="preserve"> atendimento </w:t>
      </w:r>
      <w:r w:rsidR="00602E21" w:rsidRPr="00C007BF">
        <w:rPr>
          <w:rFonts w:asciiTheme="minorHAnsi" w:hAnsiTheme="minorHAnsi"/>
          <w:sz w:val="22"/>
          <w:szCs w:val="22"/>
        </w:rPr>
        <w:t>a</w:t>
      </w:r>
      <w:r w:rsidRPr="00C007BF">
        <w:rPr>
          <w:rFonts w:asciiTheme="minorHAnsi" w:hAnsiTheme="minorHAnsi"/>
          <w:sz w:val="22"/>
          <w:szCs w:val="22"/>
        </w:rPr>
        <w:t xml:space="preserve">s demandas de todos os </w:t>
      </w:r>
      <w:r w:rsidR="00602E21" w:rsidRPr="00C007BF">
        <w:rPr>
          <w:rFonts w:asciiTheme="minorHAnsi" w:hAnsiTheme="minorHAnsi"/>
          <w:sz w:val="22"/>
          <w:szCs w:val="22"/>
        </w:rPr>
        <w:t xml:space="preserve">Órgãos </w:t>
      </w:r>
      <w:r w:rsidRPr="00C007BF">
        <w:rPr>
          <w:rFonts w:asciiTheme="minorHAnsi" w:hAnsiTheme="minorHAnsi"/>
          <w:sz w:val="22"/>
          <w:szCs w:val="22"/>
        </w:rPr>
        <w:t xml:space="preserve">da </w:t>
      </w:r>
      <w:r w:rsidR="00602E21" w:rsidRPr="00C007BF">
        <w:rPr>
          <w:rFonts w:asciiTheme="minorHAnsi" w:hAnsiTheme="minorHAnsi"/>
          <w:sz w:val="22"/>
          <w:szCs w:val="22"/>
        </w:rPr>
        <w:t xml:space="preserve">Administração Pública </w:t>
      </w:r>
      <w:r w:rsidRPr="00C007BF">
        <w:rPr>
          <w:rFonts w:asciiTheme="minorHAnsi" w:hAnsiTheme="minorHAnsi"/>
          <w:sz w:val="22"/>
          <w:szCs w:val="22"/>
        </w:rPr>
        <w:t>Municipal.</w:t>
      </w:r>
    </w:p>
    <w:p w:rsidR="007F7F1A" w:rsidRPr="00C007BF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 xml:space="preserve">A </w:t>
      </w:r>
      <w:r w:rsidRPr="00C007BF">
        <w:rPr>
          <w:rFonts w:asciiTheme="minorHAnsi" w:hAnsiTheme="minorHAnsi"/>
          <w:sz w:val="22"/>
          <w:szCs w:val="22"/>
        </w:rPr>
        <w:t>contratação</w:t>
      </w:r>
      <w:r w:rsidRPr="00C007BF">
        <w:rPr>
          <w:rFonts w:asciiTheme="minorHAnsi" w:hAnsiTheme="minorHAnsi" w:cstheme="minorHAnsi"/>
          <w:bCs/>
          <w:sz w:val="22"/>
          <w:szCs w:val="22"/>
        </w:rPr>
        <w:t xml:space="preserve"> pretendida é considerada imprescindível devido a futuras eventuais mudanças ocorridas na estrutura organizacional, bem como, decorrentes </w:t>
      </w:r>
      <w:r w:rsidR="00CA7E3D" w:rsidRPr="00C007BF">
        <w:rPr>
          <w:rFonts w:asciiTheme="minorHAnsi" w:hAnsiTheme="minorHAnsi" w:cstheme="minorHAnsi"/>
          <w:bCs/>
          <w:sz w:val="22"/>
          <w:szCs w:val="22"/>
        </w:rPr>
        <w:t>d</w:t>
      </w:r>
      <w:r w:rsidRPr="00C007BF">
        <w:rPr>
          <w:rFonts w:asciiTheme="minorHAnsi" w:hAnsiTheme="minorHAnsi" w:cstheme="minorHAnsi"/>
          <w:bCs/>
          <w:sz w:val="22"/>
          <w:szCs w:val="22"/>
        </w:rPr>
        <w:t xml:space="preserve">o aumento </w:t>
      </w:r>
      <w:r w:rsidR="00CA7E3D" w:rsidRPr="00C007BF">
        <w:rPr>
          <w:rFonts w:asciiTheme="minorHAnsi" w:hAnsiTheme="minorHAnsi" w:cstheme="minorHAnsi"/>
          <w:bCs/>
          <w:sz w:val="22"/>
          <w:szCs w:val="22"/>
        </w:rPr>
        <w:t xml:space="preserve">no </w:t>
      </w:r>
      <w:r w:rsidRPr="00C007BF">
        <w:rPr>
          <w:rFonts w:asciiTheme="minorHAnsi" w:hAnsiTheme="minorHAnsi" w:cstheme="minorHAnsi"/>
          <w:bCs/>
          <w:sz w:val="22"/>
          <w:szCs w:val="22"/>
        </w:rPr>
        <w:t>quantitativo nos setores, ratificando a autenticidade da chancela dos documentos.</w:t>
      </w:r>
    </w:p>
    <w:p w:rsidR="007F7F1A" w:rsidRPr="00C007BF" w:rsidRDefault="007F7F1A" w:rsidP="00385A25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Justifica-se, ainda, a substituição de refil e placas de texto para carimbos em uso, viabilizando a manutenção dos materiais já adquiridos.</w:t>
      </w:r>
    </w:p>
    <w:p w:rsidR="002F5A2D" w:rsidRPr="00C007BF" w:rsidRDefault="007F7F1A" w:rsidP="009F0B29">
      <w:pPr>
        <w:numPr>
          <w:ilvl w:val="1"/>
          <w:numId w:val="6"/>
        </w:numPr>
        <w:spacing w:after="24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0" w:name="_Toc466555443"/>
      <w:r w:rsidRPr="00C007BF">
        <w:rPr>
          <w:rFonts w:asciiTheme="minorHAnsi" w:hAnsiTheme="minorHAnsi" w:cstheme="minorHAnsi"/>
          <w:sz w:val="22"/>
          <w:szCs w:val="22"/>
        </w:rPr>
        <w:t xml:space="preserve">Em </w:t>
      </w:r>
      <w:r w:rsidRPr="00C007BF">
        <w:rPr>
          <w:rFonts w:asciiTheme="minorHAnsi" w:hAnsiTheme="minorHAnsi"/>
          <w:sz w:val="22"/>
          <w:szCs w:val="22"/>
        </w:rPr>
        <w:t>razão</w:t>
      </w:r>
      <w:r w:rsidRPr="00C007BF">
        <w:rPr>
          <w:rFonts w:asciiTheme="minorHAnsi" w:hAnsiTheme="minorHAnsi" w:cstheme="minorHAnsi"/>
          <w:sz w:val="22"/>
          <w:szCs w:val="22"/>
        </w:rPr>
        <w:t xml:space="preserve"> da natureza dos serviços que envolvem o envio de modelos e peças entre as partes e, consequentemente, o dispêndio de tempo e gastos com os correios, o que tornaria a execução dessa contra</w:t>
      </w:r>
      <w:r w:rsidR="00CA7E3D" w:rsidRPr="00C007BF">
        <w:rPr>
          <w:rFonts w:asciiTheme="minorHAnsi" w:hAnsiTheme="minorHAnsi" w:cstheme="minorHAnsi"/>
          <w:sz w:val="22"/>
          <w:szCs w:val="22"/>
        </w:rPr>
        <w:t>ta</w:t>
      </w:r>
      <w:r w:rsidRPr="00C007BF">
        <w:rPr>
          <w:rFonts w:asciiTheme="minorHAnsi" w:hAnsiTheme="minorHAnsi" w:cstheme="minorHAnsi"/>
          <w:sz w:val="22"/>
          <w:szCs w:val="22"/>
        </w:rPr>
        <w:t xml:space="preserve">ção economicamente inviável para este Município, </w:t>
      </w:r>
      <w:bookmarkEnd w:id="0"/>
      <w:r w:rsidR="009F0B29" w:rsidRPr="00C007BF">
        <w:rPr>
          <w:rFonts w:asciiTheme="minorHAnsi" w:hAnsiTheme="minorHAnsi" w:cstheme="minorHAnsi"/>
          <w:b/>
          <w:sz w:val="22"/>
          <w:szCs w:val="22"/>
        </w:rPr>
        <w:t xml:space="preserve">a(s) empresa(s) vencedora(s) do certame, </w:t>
      </w:r>
      <w:r w:rsidR="002F5A2D" w:rsidRPr="00C007BF">
        <w:rPr>
          <w:rFonts w:asciiTheme="minorHAnsi" w:hAnsiTheme="minorHAnsi" w:cstheme="minorHAnsi"/>
          <w:b/>
          <w:sz w:val="22"/>
          <w:szCs w:val="22"/>
        </w:rPr>
        <w:t>dever</w:t>
      </w:r>
      <w:r w:rsidR="009F0B29" w:rsidRPr="00C007BF">
        <w:rPr>
          <w:rFonts w:asciiTheme="minorHAnsi" w:hAnsiTheme="minorHAnsi" w:cstheme="minorHAnsi"/>
          <w:b/>
          <w:sz w:val="22"/>
          <w:szCs w:val="22"/>
        </w:rPr>
        <w:t>ão</w:t>
      </w:r>
      <w:r w:rsidR="002F5A2D" w:rsidRPr="00C007BF">
        <w:rPr>
          <w:rFonts w:asciiTheme="minorHAnsi" w:hAnsiTheme="minorHAnsi" w:cstheme="minorHAnsi"/>
          <w:b/>
          <w:sz w:val="22"/>
          <w:szCs w:val="22"/>
        </w:rPr>
        <w:t xml:space="preserve"> providenciar no prazo de 15 (quinze) dias corridos, após assinatura da ARP ou do contrato a abertura de sua filial ou escritório. </w:t>
      </w:r>
    </w:p>
    <w:p w:rsidR="007F7F1A" w:rsidRPr="00C007BF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DAS ESPECIFICAÇÕES, QUANTIDADES E LOCAL DE ENTREGA</w:t>
      </w:r>
    </w:p>
    <w:p w:rsidR="007F7F1A" w:rsidRPr="00C007BF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As especificações, quantidades estimadas, bem como todas as informações complementares para a perfeita e regular </w:t>
      </w:r>
      <w:r w:rsidRPr="00C007BF">
        <w:rPr>
          <w:rFonts w:asciiTheme="minorHAnsi" w:eastAsia="Calibri" w:hAnsiTheme="minorHAnsi"/>
          <w:sz w:val="22"/>
          <w:szCs w:val="22"/>
        </w:rPr>
        <w:t>execução</w:t>
      </w:r>
      <w:r w:rsidRPr="00C007BF">
        <w:rPr>
          <w:rFonts w:asciiTheme="minorHAnsi" w:hAnsiTheme="minorHAnsi"/>
          <w:sz w:val="22"/>
          <w:szCs w:val="22"/>
        </w:rPr>
        <w:t xml:space="preserve"> do objeto deste Termo de Referência estão descritas no </w:t>
      </w:r>
      <w:r w:rsidRPr="00C007BF">
        <w:rPr>
          <w:rFonts w:asciiTheme="minorHAnsi" w:hAnsiTheme="minorHAnsi"/>
          <w:b/>
          <w:sz w:val="22"/>
          <w:szCs w:val="22"/>
        </w:rPr>
        <w:t>ANEXO I</w:t>
      </w:r>
      <w:r w:rsidRPr="00C007BF">
        <w:rPr>
          <w:rFonts w:asciiTheme="minorHAnsi" w:hAnsiTheme="minorHAnsi"/>
          <w:sz w:val="22"/>
          <w:szCs w:val="22"/>
        </w:rPr>
        <w:t>.</w:t>
      </w:r>
    </w:p>
    <w:p w:rsidR="00C26C41" w:rsidRPr="00C007BF" w:rsidRDefault="00C26C41" w:rsidP="00C26C41">
      <w:pPr>
        <w:pStyle w:val="PargrafodaLista"/>
        <w:ind w:left="390"/>
        <w:jc w:val="both"/>
        <w:rPr>
          <w:rFonts w:asciiTheme="minorHAnsi" w:hAnsiTheme="minorHAnsi"/>
          <w:snapToGrid w:val="0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C26C41" w:rsidRPr="00C007BF" w:rsidRDefault="00C26C4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 aquisição dar-se-á pela modalidade licitatória denominada pregão, em sua </w:t>
      </w:r>
      <w:r w:rsidR="00A56293" w:rsidRPr="00C007BF">
        <w:rPr>
          <w:rFonts w:asciiTheme="minorHAnsi" w:eastAsia="Calibri" w:hAnsiTheme="minorHAnsi"/>
          <w:sz w:val="22"/>
          <w:szCs w:val="22"/>
        </w:rPr>
        <w:t>FORMA PRE</w:t>
      </w:r>
      <w:r w:rsidR="00CA7E3D" w:rsidRPr="00C007BF">
        <w:rPr>
          <w:rFonts w:asciiTheme="minorHAnsi" w:eastAsia="Calibri" w:hAnsiTheme="minorHAnsi"/>
          <w:sz w:val="22"/>
          <w:szCs w:val="22"/>
        </w:rPr>
        <w:t>S</w:t>
      </w:r>
      <w:r w:rsidR="00A56293" w:rsidRPr="00C007BF">
        <w:rPr>
          <w:rFonts w:asciiTheme="minorHAnsi" w:eastAsia="Calibri" w:hAnsiTheme="minorHAnsi"/>
          <w:sz w:val="22"/>
          <w:szCs w:val="22"/>
        </w:rPr>
        <w:t>ENCIAL</w:t>
      </w:r>
      <w:r w:rsidRPr="00C007BF">
        <w:rPr>
          <w:rFonts w:asciiTheme="minorHAnsi" w:eastAsia="Calibri" w:hAnsiTheme="minorHAnsi"/>
          <w:sz w:val="22"/>
          <w:szCs w:val="22"/>
        </w:rPr>
        <w:t xml:space="preserve">, tendo como critério de julgamento e classificação das propostas, o menor preço </w:t>
      </w:r>
      <w:r w:rsidR="002F5A2D" w:rsidRPr="00C007BF">
        <w:rPr>
          <w:rFonts w:asciiTheme="minorHAnsi" w:eastAsia="Calibri" w:hAnsiTheme="minorHAnsi"/>
          <w:sz w:val="22"/>
          <w:szCs w:val="22"/>
        </w:rPr>
        <w:t>(</w:t>
      </w:r>
      <w:r w:rsidR="002F5A2D" w:rsidRPr="00C007BF">
        <w:rPr>
          <w:rFonts w:asciiTheme="minorHAnsi" w:eastAsia="Calibri" w:hAnsiTheme="minorHAnsi"/>
          <w:b/>
          <w:sz w:val="22"/>
          <w:szCs w:val="22"/>
        </w:rPr>
        <w:t>POR GRUPO DE ITENS)</w:t>
      </w:r>
      <w:r w:rsidRPr="00C007BF">
        <w:rPr>
          <w:rFonts w:asciiTheme="minorHAnsi" w:eastAsia="Calibri" w:hAnsiTheme="minorHAnsi"/>
          <w:sz w:val="22"/>
          <w:szCs w:val="22"/>
        </w:rPr>
        <w:t xml:space="preserve"> observadas </w:t>
      </w:r>
      <w:proofErr w:type="gramStart"/>
      <w:r w:rsidRPr="00C007BF">
        <w:rPr>
          <w:rFonts w:asciiTheme="minorHAnsi" w:eastAsia="Calibri" w:hAnsiTheme="minorHAnsi"/>
          <w:sz w:val="22"/>
          <w:szCs w:val="22"/>
        </w:rPr>
        <w:t>as</w:t>
      </w:r>
      <w:proofErr w:type="gramEnd"/>
      <w:r w:rsidRPr="00C007BF">
        <w:rPr>
          <w:rFonts w:asciiTheme="minorHAnsi" w:eastAsia="Calibri" w:hAnsiTheme="minorHAnsi"/>
          <w:sz w:val="22"/>
          <w:szCs w:val="22"/>
        </w:rPr>
        <w:t xml:space="preserve"> especificações técnicas definidas no Anexo I deste Termo de Referência.</w:t>
      </w:r>
    </w:p>
    <w:p w:rsidR="00270DAF" w:rsidRPr="00C007BF" w:rsidRDefault="00590240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A modalidade “Pregão Presencial” se justifica ao considerar-se o fato da natureza do objeto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necessitar que </w:t>
      </w:r>
      <w:r w:rsidR="007D3D28" w:rsidRPr="00C007BF">
        <w:rPr>
          <w:rFonts w:asciiTheme="minorHAnsi" w:hAnsiTheme="minorHAnsi" w:cstheme="minorHAnsi"/>
          <w:b/>
          <w:sz w:val="22"/>
          <w:szCs w:val="22"/>
        </w:rPr>
        <w:t>a(s) empresa(s) vencedora(s) do certame</w:t>
      </w:r>
      <w:r w:rsidR="007D3D28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="00A56293" w:rsidRPr="00C007BF">
        <w:rPr>
          <w:rFonts w:asciiTheme="minorHAnsi" w:eastAsia="Calibri" w:hAnsiTheme="minorHAnsi"/>
          <w:sz w:val="22"/>
          <w:szCs w:val="22"/>
        </w:rPr>
        <w:t>tenha</w:t>
      </w:r>
      <w:r w:rsidR="007D3D28" w:rsidRPr="00C007BF">
        <w:rPr>
          <w:rFonts w:asciiTheme="minorHAnsi" w:eastAsia="Calibri" w:hAnsiTheme="minorHAnsi"/>
          <w:sz w:val="22"/>
          <w:szCs w:val="22"/>
        </w:rPr>
        <w:t>m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sede na 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região Metropolitana </w:t>
      </w:r>
      <w:r w:rsidRPr="00C007BF">
        <w:rPr>
          <w:rFonts w:asciiTheme="minorHAnsi" w:eastAsia="Calibri" w:hAnsiTheme="minorHAnsi"/>
          <w:sz w:val="22"/>
          <w:szCs w:val="22"/>
        </w:rPr>
        <w:t>de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>Maceió</w:t>
      </w:r>
      <w:r w:rsidR="00CA7E3D" w:rsidRPr="00C007BF">
        <w:rPr>
          <w:rFonts w:asciiTheme="minorHAnsi" w:eastAsia="Calibri" w:hAnsiTheme="minorHAnsi"/>
          <w:sz w:val="22"/>
          <w:szCs w:val="22"/>
        </w:rPr>
        <w:t xml:space="preserve">, </w:t>
      </w:r>
      <w:r w:rsidRPr="00C007BF">
        <w:rPr>
          <w:rFonts w:asciiTheme="minorHAnsi" w:eastAsia="Calibri" w:hAnsiTheme="minorHAnsi"/>
          <w:sz w:val="22"/>
          <w:szCs w:val="22"/>
        </w:rPr>
        <w:t>uma vez que o fornecimento de carimbos e seus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 xml:space="preserve">correlatos requerem o envio 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frequente </w:t>
      </w:r>
      <w:r w:rsidRPr="00C007BF">
        <w:rPr>
          <w:rFonts w:asciiTheme="minorHAnsi" w:eastAsia="Calibri" w:hAnsiTheme="minorHAnsi"/>
          <w:sz w:val="22"/>
          <w:szCs w:val="22"/>
        </w:rPr>
        <w:t>de modelos e peças entre as partes e, consequentemente, o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Pr="00C007BF">
        <w:rPr>
          <w:rFonts w:asciiTheme="minorHAnsi" w:eastAsia="Calibri" w:hAnsiTheme="minorHAnsi"/>
          <w:sz w:val="22"/>
          <w:szCs w:val="22"/>
        </w:rPr>
        <w:t>dispêndio de tempo e gastos com os correios</w:t>
      </w:r>
      <w:r w:rsidR="00270DAF" w:rsidRPr="00C007BF">
        <w:rPr>
          <w:rFonts w:asciiTheme="minorHAnsi" w:eastAsia="Calibri" w:hAnsiTheme="minorHAnsi"/>
          <w:sz w:val="22"/>
          <w:szCs w:val="22"/>
        </w:rPr>
        <w:t>.</w:t>
      </w:r>
    </w:p>
    <w:p w:rsidR="001E42C4" w:rsidRPr="00C007BF" w:rsidRDefault="00270DAF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lastRenderedPageBreak/>
        <w:t>Ressalte-se que as solicitações são na maioria da</w:t>
      </w:r>
      <w:r w:rsidR="00033806" w:rsidRPr="00C007BF">
        <w:rPr>
          <w:rFonts w:asciiTheme="minorHAnsi" w:eastAsia="Calibri" w:hAnsiTheme="minorHAnsi"/>
          <w:sz w:val="22"/>
          <w:szCs w:val="22"/>
        </w:rPr>
        <w:t>s</w:t>
      </w:r>
      <w:r w:rsidRPr="00C007BF">
        <w:rPr>
          <w:rFonts w:asciiTheme="minorHAnsi" w:eastAsia="Calibri" w:hAnsiTheme="minorHAnsi"/>
          <w:sz w:val="22"/>
          <w:szCs w:val="22"/>
        </w:rPr>
        <w:t xml:space="preserve"> vezes de pequeno v</w:t>
      </w:r>
      <w:r w:rsidR="005448E9" w:rsidRPr="00C007BF">
        <w:rPr>
          <w:rFonts w:asciiTheme="minorHAnsi" w:eastAsia="Calibri" w:hAnsiTheme="minorHAnsi"/>
          <w:sz w:val="22"/>
          <w:szCs w:val="22"/>
        </w:rPr>
        <w:t>alor</w:t>
      </w:r>
      <w:r w:rsidR="00033806" w:rsidRPr="00C007BF">
        <w:rPr>
          <w:rFonts w:asciiTheme="minorHAnsi" w:eastAsia="Calibri" w:hAnsiTheme="minorHAnsi"/>
          <w:sz w:val="22"/>
          <w:szCs w:val="22"/>
        </w:rPr>
        <w:t>,</w:t>
      </w:r>
      <w:r w:rsidR="005448E9" w:rsidRPr="00C007BF">
        <w:rPr>
          <w:rFonts w:asciiTheme="minorHAnsi" w:eastAsia="Calibri" w:hAnsiTheme="minorHAnsi"/>
          <w:sz w:val="22"/>
          <w:szCs w:val="22"/>
        </w:rPr>
        <w:t xml:space="preserve"> tornando impraticável a co</w:t>
      </w:r>
      <w:r w:rsidRPr="00C007BF">
        <w:rPr>
          <w:rFonts w:asciiTheme="minorHAnsi" w:eastAsia="Calibri" w:hAnsiTheme="minorHAnsi"/>
          <w:sz w:val="22"/>
          <w:szCs w:val="22"/>
        </w:rPr>
        <w:t>ntratação com empresas fora do da região metropolitana</w:t>
      </w:r>
      <w:r w:rsidR="00033806" w:rsidRPr="00C007BF">
        <w:rPr>
          <w:rFonts w:asciiTheme="minorHAnsi" w:eastAsia="Calibri" w:hAnsiTheme="minorHAnsi"/>
          <w:sz w:val="22"/>
          <w:szCs w:val="22"/>
        </w:rPr>
        <w:t xml:space="preserve"> de Maceió</w:t>
      </w:r>
      <w:r w:rsidRPr="00C007BF">
        <w:rPr>
          <w:rFonts w:asciiTheme="minorHAnsi" w:eastAsia="Calibri" w:hAnsiTheme="minorHAnsi"/>
          <w:sz w:val="22"/>
          <w:szCs w:val="22"/>
        </w:rPr>
        <w:t>, al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ém disso, as empresas que </w:t>
      </w:r>
      <w:r w:rsidR="000961D7" w:rsidRPr="00C007BF">
        <w:rPr>
          <w:rFonts w:asciiTheme="minorHAnsi" w:eastAsia="Calibri" w:hAnsiTheme="minorHAnsi"/>
          <w:sz w:val="22"/>
          <w:szCs w:val="22"/>
        </w:rPr>
        <w:t xml:space="preserve">participam 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de licitações nesse tipo de objeto </w:t>
      </w:r>
      <w:r w:rsidRPr="00C007BF">
        <w:rPr>
          <w:rFonts w:asciiTheme="minorHAnsi" w:eastAsia="Calibri" w:hAnsiTheme="minorHAnsi"/>
          <w:sz w:val="22"/>
          <w:szCs w:val="22"/>
        </w:rPr>
        <w:t xml:space="preserve">não costumam </w:t>
      </w:r>
      <w:r w:rsidR="00B72A0A" w:rsidRPr="00C007BF">
        <w:rPr>
          <w:rFonts w:asciiTheme="minorHAnsi" w:eastAsia="Calibri" w:hAnsiTheme="minorHAnsi"/>
          <w:sz w:val="22"/>
          <w:szCs w:val="22"/>
        </w:rPr>
        <w:t>operar os sistemas eletrônicos, como foi o caso da licitação realizada pela Comissão Permanente de Licitação da PGM,</w:t>
      </w:r>
      <w:r w:rsidRPr="00C007BF">
        <w:rPr>
          <w:rFonts w:asciiTheme="minorHAnsi" w:eastAsia="Calibri" w:hAnsiTheme="minorHAnsi"/>
          <w:sz w:val="22"/>
          <w:szCs w:val="22"/>
        </w:rPr>
        <w:t xml:space="preserve"> nos autos do processo administrativo nº </w:t>
      </w:r>
      <w:r w:rsidR="00033806" w:rsidRPr="00C007BF">
        <w:rPr>
          <w:rFonts w:asciiTheme="minorHAnsi" w:hAnsiTheme="minorHAnsi"/>
          <w:b/>
          <w:sz w:val="22"/>
          <w:szCs w:val="22"/>
        </w:rPr>
        <w:t>01100.087643/2016,</w:t>
      </w:r>
      <w:proofErr w:type="gramStart"/>
      <w:r w:rsidR="00B72A0A" w:rsidRPr="00C007BF">
        <w:rPr>
          <w:rFonts w:asciiTheme="minorHAnsi" w:eastAsia="Calibri" w:hAnsiTheme="minorHAnsi"/>
          <w:sz w:val="22"/>
          <w:szCs w:val="22"/>
        </w:rPr>
        <w:t xml:space="preserve"> </w:t>
      </w:r>
      <w:r w:rsidR="009F0B29" w:rsidRPr="00C007BF">
        <w:rPr>
          <w:rFonts w:asciiTheme="minorHAnsi" w:eastAsia="Calibri" w:hAnsiTheme="minorHAnsi"/>
          <w:sz w:val="22"/>
          <w:szCs w:val="22"/>
        </w:rPr>
        <w:t xml:space="preserve"> </w:t>
      </w:r>
      <w:proofErr w:type="gramEnd"/>
      <w:r w:rsidR="00033806" w:rsidRPr="00C007BF">
        <w:rPr>
          <w:rFonts w:asciiTheme="minorHAnsi" w:eastAsia="Calibri" w:hAnsiTheme="minorHAnsi"/>
          <w:sz w:val="22"/>
          <w:szCs w:val="22"/>
        </w:rPr>
        <w:t>na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qual pa</w:t>
      </w:r>
      <w:r w:rsidR="00A56293" w:rsidRPr="00C007BF">
        <w:rPr>
          <w:rFonts w:asciiTheme="minorHAnsi" w:eastAsia="Calibri" w:hAnsiTheme="minorHAnsi"/>
          <w:sz w:val="22"/>
          <w:szCs w:val="22"/>
        </w:rPr>
        <w:t>rticipou apenas uma empresa do Estado de S</w:t>
      </w:r>
      <w:r w:rsidR="00B72A0A" w:rsidRPr="00C007BF">
        <w:rPr>
          <w:rFonts w:asciiTheme="minorHAnsi" w:eastAsia="Calibri" w:hAnsiTheme="minorHAnsi"/>
          <w:sz w:val="22"/>
          <w:szCs w:val="22"/>
        </w:rPr>
        <w:t>ão Paulo e não consegui</w:t>
      </w:r>
      <w:r w:rsidR="00CA7E3D" w:rsidRPr="00C007BF">
        <w:rPr>
          <w:rFonts w:asciiTheme="minorHAnsi" w:eastAsia="Calibri" w:hAnsiTheme="minorHAnsi"/>
          <w:sz w:val="22"/>
          <w:szCs w:val="22"/>
        </w:rPr>
        <w:t>u</w:t>
      </w:r>
      <w:r w:rsidR="00B72A0A" w:rsidRPr="00C007BF">
        <w:rPr>
          <w:rFonts w:asciiTheme="minorHAnsi" w:eastAsia="Calibri" w:hAnsiTheme="minorHAnsi"/>
          <w:sz w:val="22"/>
          <w:szCs w:val="22"/>
        </w:rPr>
        <w:t xml:space="preserve"> chegar ao valor estimado nos autos, </w:t>
      </w:r>
      <w:r w:rsidR="00756260" w:rsidRPr="00C007BF">
        <w:rPr>
          <w:rFonts w:asciiTheme="minorHAnsi" w:eastAsia="Calibri" w:hAnsiTheme="minorHAnsi"/>
          <w:sz w:val="22"/>
          <w:szCs w:val="22"/>
        </w:rPr>
        <w:t>tendo sido a licitação declarada fracassada</w:t>
      </w:r>
      <w:r w:rsidR="00B72A0A" w:rsidRPr="00C007BF">
        <w:rPr>
          <w:rFonts w:asciiTheme="minorHAnsi" w:eastAsia="Calibri" w:hAnsiTheme="minorHAnsi"/>
          <w:sz w:val="22"/>
          <w:szCs w:val="22"/>
        </w:rPr>
        <w:t>.</w:t>
      </w:r>
    </w:p>
    <w:p w:rsidR="009F0B29" w:rsidRPr="00C007BF" w:rsidRDefault="009F0B29" w:rsidP="009F0B29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O agrupamento dos itens se deve pela similaridade de especificação dos itens, além de </w:t>
      </w:r>
      <w:r w:rsidRPr="00C007BF">
        <w:rPr>
          <w:rFonts w:asciiTheme="minorHAnsi" w:eastAsiaTheme="minorHAnsi" w:hAnsiTheme="minorHAnsi"/>
          <w:sz w:val="22"/>
          <w:szCs w:val="22"/>
          <w:lang w:eastAsia="en-US"/>
        </w:rPr>
        <w:t>tornar-se impraticável o relacionamento da Instituição para com várias empresas com diversos contratos e pedidos de pequenos valores;</w:t>
      </w:r>
    </w:p>
    <w:p w:rsidR="005D1071" w:rsidRPr="00C007BF" w:rsidRDefault="005D1071" w:rsidP="005D107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Considerando a natureza da contra</w:t>
      </w:r>
      <w:r w:rsidR="00CA7E3D" w:rsidRPr="00C007BF">
        <w:rPr>
          <w:rFonts w:asciiTheme="minorHAnsi" w:eastAsia="Calibri" w:hAnsiTheme="minorHAnsi"/>
          <w:sz w:val="22"/>
          <w:szCs w:val="22"/>
        </w:rPr>
        <w:t>ta</w:t>
      </w:r>
      <w:r w:rsidRPr="00C007BF">
        <w:rPr>
          <w:rFonts w:asciiTheme="minorHAnsi" w:eastAsia="Calibri" w:hAnsiTheme="minorHAnsi"/>
          <w:sz w:val="22"/>
          <w:szCs w:val="22"/>
        </w:rPr>
        <w:t xml:space="preserve">ção, bem como a necessidade de uma padronização dos carimbos a serem confeccionados, além de uma melhor operacionalização/gestão do contrato a ser celebrado, o critério a ser adotado para o julgamento das propostas será o de </w:t>
      </w:r>
      <w:r w:rsidRPr="00C007BF">
        <w:rPr>
          <w:rFonts w:asciiTheme="minorHAnsi" w:eastAsia="Calibri" w:hAnsiTheme="minorHAnsi"/>
          <w:b/>
          <w:sz w:val="22"/>
          <w:szCs w:val="22"/>
        </w:rPr>
        <w:t xml:space="preserve">MENOR PREÇO </w:t>
      </w:r>
      <w:r w:rsidR="009F0B29" w:rsidRPr="00C007BF">
        <w:rPr>
          <w:rFonts w:asciiTheme="minorHAnsi" w:eastAsia="Calibri" w:hAnsiTheme="minorHAnsi"/>
          <w:b/>
          <w:sz w:val="22"/>
          <w:szCs w:val="22"/>
        </w:rPr>
        <w:t>(POR GRUPO DE ITENS)</w:t>
      </w:r>
      <w:r w:rsidRPr="00C007BF">
        <w:rPr>
          <w:rFonts w:asciiTheme="minorHAnsi" w:eastAsia="Calibri" w:hAnsiTheme="minorHAnsi"/>
          <w:sz w:val="22"/>
          <w:szCs w:val="22"/>
        </w:rPr>
        <w:t>.</w:t>
      </w:r>
    </w:p>
    <w:p w:rsidR="00C26C41" w:rsidRPr="00C007BF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9F0B29" w:rsidRPr="00C007BF" w:rsidRDefault="009F0B29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 DOTAÇÃO ORÇAMENTÁRIA 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C007BF">
        <w:rPr>
          <w:rFonts w:asciiTheme="minorHAnsi" w:eastAsia="Calibri" w:hAnsiTheme="minorHAnsi"/>
          <w:sz w:val="22"/>
          <w:szCs w:val="22"/>
        </w:rPr>
        <w:t xml:space="preserve">e Entidades </w:t>
      </w:r>
      <w:r w:rsidRPr="00C007BF">
        <w:rPr>
          <w:rFonts w:asciiTheme="minorHAnsi" w:eastAsia="Calibri" w:hAnsiTheme="minorHAnsi"/>
          <w:sz w:val="22"/>
          <w:szCs w:val="22"/>
        </w:rPr>
        <w:t xml:space="preserve">do Município </w:t>
      </w:r>
      <w:r w:rsidR="00CA7E3D" w:rsidRPr="00C007BF">
        <w:rPr>
          <w:rFonts w:asciiTheme="minorHAnsi" w:eastAsia="Calibri" w:hAnsiTheme="minorHAnsi"/>
          <w:sz w:val="22"/>
          <w:szCs w:val="22"/>
        </w:rPr>
        <w:t>de Maceió participantes</w:t>
      </w:r>
      <w:r w:rsidRPr="00C007BF">
        <w:rPr>
          <w:rFonts w:asciiTheme="minorHAnsi" w:eastAsia="Calibri" w:hAnsiTheme="minorHAnsi"/>
          <w:sz w:val="22"/>
          <w:szCs w:val="22"/>
        </w:rPr>
        <w:t xml:space="preserve"> na ARP, quando houver.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 xml:space="preserve">Quando da contratação, para fazer face à despesa, será emitida Declaração do Ordenador da Despesa </w:t>
      </w:r>
      <w:r w:rsidRPr="00C007BF">
        <w:rPr>
          <w:rFonts w:asciiTheme="minorHAnsi" w:hAnsiTheme="minorHAns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C007BF">
        <w:rPr>
          <w:rFonts w:asciiTheme="minorHAnsi" w:eastAsia="Calibri" w:hAnsiTheme="minorHAnsi"/>
          <w:sz w:val="22"/>
          <w:szCs w:val="22"/>
        </w:rPr>
        <w:t>Nota de Empenho expedida pelo setor contábil do Órgão ou Entidade interessado.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green"/>
        </w:rPr>
      </w:pPr>
    </w:p>
    <w:p w:rsidR="00703B24" w:rsidRPr="00C007BF" w:rsidRDefault="00703B24" w:rsidP="00703B24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 xml:space="preserve">DAS CONDIÇÕES DE FORNECIMENTO </w:t>
      </w:r>
    </w:p>
    <w:p w:rsidR="00703B24" w:rsidRPr="00C007BF" w:rsidRDefault="00703B24" w:rsidP="00703B24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eastAsia="Calibri" w:hAnsiTheme="minorHAnsi"/>
          <w:sz w:val="22"/>
          <w:szCs w:val="22"/>
        </w:rPr>
        <w:t>Sempre que julgar necessário</w:t>
      </w:r>
      <w:r w:rsidR="00CA7E3D" w:rsidRPr="00C007BF">
        <w:rPr>
          <w:rFonts w:asciiTheme="minorHAnsi" w:eastAsia="Calibri" w:hAnsiTheme="minorHAnsi"/>
          <w:sz w:val="22"/>
          <w:szCs w:val="22"/>
        </w:rPr>
        <w:t>,</w:t>
      </w:r>
      <w:r w:rsidRPr="00C007BF">
        <w:rPr>
          <w:rFonts w:asciiTheme="minorHAnsi" w:eastAsia="Calibri" w:hAnsiTheme="minorHAnsi"/>
          <w:sz w:val="22"/>
          <w:szCs w:val="22"/>
        </w:rPr>
        <w:t xml:space="preserve"> a Contratante solicitará, durante a vigência da ARP, a execução dos serviços registrados na quantidade necessária, mediante a elaboração do instrumento contratual.</w:t>
      </w:r>
    </w:p>
    <w:p w:rsidR="00703B24" w:rsidRPr="00C007BF" w:rsidRDefault="00703B24" w:rsidP="00703B24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 Contratante não </w:t>
      </w:r>
      <w:r w:rsidRPr="00C007BF">
        <w:rPr>
          <w:rFonts w:asciiTheme="minorHAnsi" w:eastAsia="Calibri" w:hAnsiTheme="minorHAnsi"/>
          <w:sz w:val="22"/>
          <w:szCs w:val="22"/>
        </w:rPr>
        <w:t>estará</w:t>
      </w:r>
      <w:r w:rsidRPr="00C007BF">
        <w:rPr>
          <w:rFonts w:asciiTheme="minorHAnsi" w:hAnsiTheme="minorHAnsi"/>
          <w:sz w:val="22"/>
          <w:szCs w:val="22"/>
        </w:rPr>
        <w:t xml:space="preserve"> obrigada a adquirir os serviços registrados, contudo, ao fazê-lo, solicitará um percentual mínimo de </w:t>
      </w:r>
      <w:r w:rsidRPr="00C007BF">
        <w:rPr>
          <w:rFonts w:asciiTheme="minorHAnsi" w:hAnsiTheme="minorHAnsi"/>
          <w:b/>
          <w:sz w:val="22"/>
          <w:szCs w:val="22"/>
        </w:rPr>
        <w:t>1% (um por cento</w:t>
      </w:r>
      <w:r w:rsidRPr="00C007BF">
        <w:rPr>
          <w:rFonts w:asciiTheme="minorHAnsi" w:hAnsiTheme="minorHAnsi"/>
          <w:sz w:val="22"/>
          <w:szCs w:val="22"/>
        </w:rPr>
        <w:t>) do que se encontra registrado;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Os pedidos de confecção de carimbos serão encaminhados à CONTRATADA, e-mail ou outro meio através de formulário próprio (Solicitação de Carimbos), pela CONTRATANTE;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A empresa adjudicada atenderá aos pedidos de confecção de carimbos no prazo máximo de 48 (quarenta e oito) horas, a contar do recebimento da solicitação da CONTRATANTE;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Os pedidos solicitados em caráter de urgência deverão ser atendidos, no prazo máximo de 24 (vinte e quatro) horas, a contar do recebimento da solicitação da CONTRATANTE;</w:t>
      </w:r>
    </w:p>
    <w:p w:rsidR="00703B24" w:rsidRPr="00C007BF" w:rsidRDefault="00703B24" w:rsidP="00703B24">
      <w:pPr>
        <w:pStyle w:val="Default"/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703B24" w:rsidRPr="00C007BF" w:rsidRDefault="00703B24" w:rsidP="00703B24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007BF">
        <w:rPr>
          <w:rFonts w:asciiTheme="minorHAnsi" w:hAnsiTheme="minorHAnsi" w:cstheme="minorHAnsi"/>
          <w:bCs/>
          <w:sz w:val="22"/>
          <w:szCs w:val="22"/>
        </w:rPr>
        <w:t>A contagem do prazo para a entrega dos carimbos contará a partir do recebimento da solicitação pela CONTRATADA;</w:t>
      </w:r>
    </w:p>
    <w:p w:rsidR="00703B24" w:rsidRPr="00C007BF" w:rsidRDefault="00703B24" w:rsidP="00703B24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385A25" w:rsidRPr="00C007BF" w:rsidRDefault="00703B24" w:rsidP="00385A25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eastAsia="Calibri" w:hAnsiTheme="minorHAnsi" w:cs="Calibri"/>
          <w:color w:val="auto"/>
          <w:sz w:val="22"/>
          <w:szCs w:val="22"/>
        </w:rPr>
      </w:pP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Os </w:t>
      </w:r>
      <w:r w:rsidRPr="00C007BF">
        <w:rPr>
          <w:rFonts w:asciiTheme="minorHAnsi" w:hAnsiTheme="minorHAnsi" w:cstheme="minorHAnsi"/>
          <w:bCs/>
          <w:color w:val="auto"/>
          <w:sz w:val="22"/>
          <w:szCs w:val="22"/>
        </w:rPr>
        <w:t>produtos</w:t>
      </w:r>
      <w:r w:rsidRPr="00C007BF">
        <w:rPr>
          <w:rFonts w:asciiTheme="minorHAnsi" w:hAnsiTheme="minorHAnsi" w:cstheme="minorHAnsi"/>
          <w:color w:val="auto"/>
          <w:sz w:val="22"/>
          <w:szCs w:val="22"/>
        </w:rPr>
        <w:t xml:space="preserve"> deverão ser entregues ao servidor responsável pelo Setor de Almoxarifado de cada 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>Órgão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ou Entidade</w:t>
      </w:r>
      <w:r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do Município</w:t>
      </w:r>
      <w:r w:rsidR="00CA7E3D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 de Maceió</w:t>
      </w:r>
      <w:r w:rsidR="00385A25" w:rsidRPr="00C007BF">
        <w:rPr>
          <w:rFonts w:asciiTheme="minorHAnsi" w:eastAsia="Calibri" w:hAnsiTheme="minorHAnsi"/>
          <w:color w:val="auto"/>
          <w:sz w:val="22"/>
          <w:szCs w:val="22"/>
        </w:rPr>
        <w:t xml:space="preserve">, 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acompanhados da documentação fiscal, juntamente 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lastRenderedPageBreak/>
        <w:t xml:space="preserve">com cópia da Nota de Empenho/Ordem de Fornecimento, no horário das </w:t>
      </w:r>
      <w:r w:rsidR="00033806" w:rsidRPr="00C007BF">
        <w:rPr>
          <w:rFonts w:asciiTheme="minorHAnsi" w:eastAsia="Calibri" w:hAnsiTheme="minorHAnsi" w:cs="Calibri"/>
          <w:color w:val="auto"/>
          <w:sz w:val="22"/>
          <w:szCs w:val="22"/>
        </w:rPr>
        <w:t>08h00 às 14h00</w:t>
      </w:r>
      <w:r w:rsidR="00385A25" w:rsidRPr="00C007BF">
        <w:rPr>
          <w:rFonts w:asciiTheme="minorHAnsi" w:eastAsia="Calibri" w:hAnsiTheme="minorHAnsi" w:cs="Calibri"/>
          <w:color w:val="auto"/>
          <w:sz w:val="22"/>
          <w:szCs w:val="22"/>
        </w:rPr>
        <w:t xml:space="preserve"> de segunda a sexta-feira. </w:t>
      </w:r>
    </w:p>
    <w:p w:rsidR="00703B24" w:rsidRPr="00C007BF" w:rsidRDefault="00703B24" w:rsidP="00C26C41">
      <w:pPr>
        <w:pStyle w:val="PargrafodaLista"/>
        <w:tabs>
          <w:tab w:val="left" w:pos="284"/>
        </w:tabs>
        <w:spacing w:after="60"/>
        <w:ind w:left="0"/>
        <w:jc w:val="both"/>
        <w:rPr>
          <w:rFonts w:asciiTheme="minorHAnsi" w:eastAsia="Calibri" w:hAnsiTheme="minorHAnsi"/>
          <w:sz w:val="22"/>
          <w:szCs w:val="22"/>
          <w:highlight w:val="green"/>
        </w:rPr>
      </w:pP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execução dos serviços deverá atender aos dispositivos da Lei nº 8.078/90 (Código de Defesa do Consumidor) e às demais legislação pertinentes.</w:t>
      </w:r>
    </w:p>
    <w:p w:rsidR="00C26C41" w:rsidRPr="00C007BF" w:rsidRDefault="00C26C41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7F7F1A" w:rsidRPr="00C007BF" w:rsidRDefault="007F7F1A" w:rsidP="007F7F1A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DO RECEBIMENTO DO OBJETO</w:t>
      </w:r>
    </w:p>
    <w:p w:rsidR="007F7F1A" w:rsidRPr="00C007BF" w:rsidRDefault="007F7F1A" w:rsidP="007F7F1A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C007BF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C007BF">
        <w:rPr>
          <w:rFonts w:asciiTheme="minorHAnsi" w:hAnsiTheme="minorHAnsi" w:cstheme="minorHAnsi"/>
          <w:sz w:val="22"/>
          <w:szCs w:val="22"/>
        </w:rPr>
        <w:t>:</w:t>
      </w:r>
    </w:p>
    <w:p w:rsidR="00283E55" w:rsidRPr="00C007BF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C007BF" w:rsidRDefault="007F7F1A" w:rsidP="00283E55">
      <w:pPr>
        <w:pStyle w:val="PargrafodaLista"/>
        <w:numPr>
          <w:ilvl w:val="2"/>
          <w:numId w:val="33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C007BF" w:rsidRDefault="007F7F1A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C007BF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C007BF" w:rsidRDefault="00283E55" w:rsidP="00283E55">
      <w:pPr>
        <w:pStyle w:val="Default"/>
        <w:numPr>
          <w:ilvl w:val="0"/>
          <w:numId w:val="34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Pr="00C007BF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C007BF" w:rsidRDefault="00283E55" w:rsidP="008A6253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descrições do objeto contratado. </w:t>
      </w:r>
    </w:p>
    <w:p w:rsidR="00283E55" w:rsidRPr="00C007BF" w:rsidRDefault="00283E55" w:rsidP="00283E55">
      <w:pPr>
        <w:pStyle w:val="PargrafodaLista"/>
        <w:ind w:left="360"/>
        <w:rPr>
          <w:rFonts w:asciiTheme="minorHAnsi" w:hAnsiTheme="minorHAnsi" w:cs="Arial"/>
          <w:sz w:val="22"/>
          <w:szCs w:val="22"/>
        </w:rPr>
      </w:pPr>
    </w:p>
    <w:p w:rsidR="00283E55" w:rsidRPr="00C007BF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A </w:t>
      </w:r>
      <w:r w:rsidR="00FC7432" w:rsidRPr="00C007BF">
        <w:rPr>
          <w:rFonts w:asciiTheme="minorHAnsi" w:hAnsiTheme="minorHAnsi" w:cs="Arial"/>
          <w:sz w:val="22"/>
          <w:szCs w:val="22"/>
        </w:rPr>
        <w:t xml:space="preserve">Contratada </w:t>
      </w:r>
      <w:r w:rsidRPr="00C007BF">
        <w:rPr>
          <w:rFonts w:asciiTheme="minorHAnsi" w:hAnsiTheme="minorHAnsi" w:cs="Arial"/>
          <w:sz w:val="22"/>
          <w:szCs w:val="22"/>
        </w:rPr>
        <w:t>terá de refazer ou corrigir os materiais rejeitados no prazo máximo de 02 (dois) dias úteis, contados da notificação para realização</w:t>
      </w:r>
      <w:r w:rsidR="00A56293" w:rsidRPr="00C007BF">
        <w:rPr>
          <w:rFonts w:asciiTheme="minorHAnsi" w:hAnsiTheme="minorHAnsi" w:cs="Arial"/>
          <w:sz w:val="22"/>
          <w:szCs w:val="22"/>
        </w:rPr>
        <w:t xml:space="preserve"> </w:t>
      </w:r>
      <w:r w:rsidRPr="00C007BF">
        <w:rPr>
          <w:rFonts w:asciiTheme="minorHAnsi" w:hAnsiTheme="minorHAnsi" w:cs="Arial"/>
          <w:sz w:val="22"/>
          <w:szCs w:val="22"/>
        </w:rPr>
        <w:t xml:space="preserve">das correções. </w:t>
      </w:r>
    </w:p>
    <w:p w:rsidR="007F7F1A" w:rsidRPr="00C007BF" w:rsidRDefault="007F7F1A" w:rsidP="00C26C41">
      <w:pPr>
        <w:pStyle w:val="PargrafodaLista"/>
        <w:ind w:left="390"/>
        <w:jc w:val="both"/>
        <w:rPr>
          <w:rFonts w:asciiTheme="minorHAnsi" w:hAnsiTheme="minorHAnsi"/>
          <w:sz w:val="22"/>
          <w:szCs w:val="22"/>
        </w:rPr>
      </w:pPr>
    </w:p>
    <w:p w:rsidR="003E06B2" w:rsidRPr="00C007BF" w:rsidRDefault="003E06B2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bookmarkStart w:id="1" w:name="_Toc463423137"/>
      <w:r w:rsidRPr="00C007BF">
        <w:rPr>
          <w:rFonts w:asciiTheme="minorHAnsi" w:hAnsiTheme="minorHAnsi"/>
          <w:b/>
          <w:sz w:val="22"/>
          <w:szCs w:val="22"/>
        </w:rPr>
        <w:t>DA GARANTIA</w:t>
      </w:r>
      <w:bookmarkEnd w:id="1"/>
    </w:p>
    <w:p w:rsidR="00283E55" w:rsidRPr="00C007BF" w:rsidRDefault="00283E55" w:rsidP="00283E55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Os prazos de garantia contra defeitos de fabricação serão de no mínimo: </w:t>
      </w:r>
    </w:p>
    <w:p w:rsidR="00283E55" w:rsidRPr="00C007BF" w:rsidRDefault="00283E55" w:rsidP="005D1071">
      <w:pPr>
        <w:pStyle w:val="PargrafodaLista"/>
        <w:ind w:left="1134"/>
        <w:rPr>
          <w:rFonts w:asciiTheme="minorHAnsi" w:hAnsiTheme="minorHAnsi" w:cs="Arial"/>
          <w:sz w:val="22"/>
          <w:szCs w:val="22"/>
        </w:rPr>
      </w:pPr>
    </w:p>
    <w:p w:rsidR="00283E55" w:rsidRPr="00C007BF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06 (seis) meses para os carimbos auto-entintados; e </w:t>
      </w:r>
    </w:p>
    <w:p w:rsidR="00283E55" w:rsidRPr="00C007BF" w:rsidRDefault="00283E55" w:rsidP="00FC7432">
      <w:pPr>
        <w:pStyle w:val="Default"/>
        <w:numPr>
          <w:ilvl w:val="0"/>
          <w:numId w:val="40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03 (três) meses par</w:t>
      </w:r>
      <w:r w:rsidR="00020663" w:rsidRPr="00C007BF">
        <w:rPr>
          <w:rFonts w:asciiTheme="minorHAnsi" w:hAnsiTheme="minorHAnsi"/>
          <w:sz w:val="22"/>
          <w:szCs w:val="22"/>
        </w:rPr>
        <w:t>a as resinas.</w:t>
      </w:r>
    </w:p>
    <w:p w:rsidR="00283E55" w:rsidRPr="00C007BF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C007BF" w:rsidRDefault="00C26C41" w:rsidP="00615520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 xml:space="preserve">DA HABILITAÇÃO </w:t>
      </w:r>
    </w:p>
    <w:p w:rsidR="00AE1C16" w:rsidRPr="00C007BF" w:rsidRDefault="00AE1C16" w:rsidP="00AE1C16">
      <w:pPr>
        <w:pStyle w:val="Default"/>
        <w:numPr>
          <w:ilvl w:val="1"/>
          <w:numId w:val="8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público ou privado, que comprove que a mesma executou ou está executando, de maneira satisfatória, fornecimentos </w:t>
      </w:r>
      <w:r w:rsidR="00615520" w:rsidRPr="00C007BF">
        <w:rPr>
          <w:rFonts w:asciiTheme="minorHAnsi" w:hAnsiTheme="minorHAnsi" w:cstheme="minorHAnsi"/>
          <w:sz w:val="22"/>
          <w:szCs w:val="22"/>
        </w:rPr>
        <w:t>de carimbos</w:t>
      </w:r>
      <w:r w:rsidRPr="00C007BF">
        <w:rPr>
          <w:rFonts w:asciiTheme="minorHAnsi" w:hAnsiTheme="minorHAnsi" w:cstheme="minorHAnsi"/>
          <w:b/>
          <w:sz w:val="22"/>
          <w:szCs w:val="22"/>
        </w:rPr>
        <w:t>.</w:t>
      </w:r>
    </w:p>
    <w:p w:rsidR="00AE1C16" w:rsidRPr="00C007BF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DAS OBRIGAÇÕES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Contratada</w:t>
      </w:r>
    </w:p>
    <w:p w:rsidR="00C26C41" w:rsidRPr="00C007BF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C007BF" w:rsidRDefault="00C26C41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Atender a todos os pedidos efetuados durante a vigência da Ata no limite do quantitativo registrado;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Entregar o objeto deste Termo de Referência no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endereço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>s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 constante no </w:t>
      </w:r>
      <w:r w:rsidR="00033806" w:rsidRPr="00C007BF">
        <w:rPr>
          <w:rFonts w:asciiTheme="minorHAnsi" w:hAnsiTheme="minorHAnsi"/>
          <w:color w:val="auto"/>
          <w:sz w:val="22"/>
          <w:szCs w:val="22"/>
        </w:rPr>
        <w:t xml:space="preserve">anexo II </w:t>
      </w:r>
      <w:r w:rsidRPr="00C007BF">
        <w:rPr>
          <w:rFonts w:asciiTheme="minorHAnsi" w:hAnsiTheme="minorHAns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C007BF">
        <w:rPr>
          <w:rFonts w:asciiTheme="minorHAnsi" w:hAnsiTheme="minorHAnsi"/>
          <w:color w:val="auto"/>
          <w:sz w:val="22"/>
          <w:szCs w:val="22"/>
        </w:rPr>
        <w:t>6</w:t>
      </w:r>
      <w:proofErr w:type="gramEnd"/>
      <w:r w:rsidRPr="00C007BF">
        <w:rPr>
          <w:rFonts w:asciiTheme="minorHAnsi" w:hAnsiTheme="minorHAns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Efetuar 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 xml:space="preserve"> em perfeitas condições de uso, em estrita observância às especificações deste Termo de Referência;</w:t>
      </w:r>
    </w:p>
    <w:p w:rsidR="00C007BF" w:rsidRPr="00D44144" w:rsidRDefault="00C007BF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D44144">
        <w:rPr>
          <w:rFonts w:asciiTheme="minorHAnsi" w:hAnsiTheme="minorHAnsi" w:cstheme="minorHAnsi"/>
          <w:color w:val="auto"/>
          <w:sz w:val="22"/>
          <w:szCs w:val="22"/>
        </w:rPr>
        <w:lastRenderedPageBreak/>
        <w:t>Providenciar no prazo de 15 (quinze) dias corridos, após assinatura da ARP ou do contrato a abertura de sua filial ou escritório, caso o fornecedor não possua sede em Maceió/Alagoas;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Executar o objeto do contrato nas condições pactuadas neste documento;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Providenciar a correção das deficiências, falhas ou irregularidades constatadas pela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na entrega do</w:t>
      </w:r>
      <w:r w:rsidR="00FC7432" w:rsidRPr="00C007BF">
        <w:rPr>
          <w:rFonts w:asciiTheme="minorHAnsi" w:hAnsiTheme="minorHAnsi"/>
          <w:sz w:val="22"/>
          <w:szCs w:val="22"/>
        </w:rPr>
        <w:t xml:space="preserve"> objeto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Responder por danos causados diretamente à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ou a terceiros, decorrentes de sua culpa ou dolo, quando da execução do contrato;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Acatar as orientações da </w:t>
      </w:r>
      <w:r w:rsidR="00FC7432" w:rsidRPr="00C007BF">
        <w:rPr>
          <w:rFonts w:asciiTheme="minorHAnsi" w:hAnsiTheme="minorHAnsi"/>
          <w:sz w:val="22"/>
          <w:szCs w:val="22"/>
        </w:rPr>
        <w:t>Contratante</w:t>
      </w:r>
      <w:r w:rsidRPr="00C007BF">
        <w:rPr>
          <w:rFonts w:asciiTheme="minorHAnsi" w:hAnsiTheme="minorHAns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C007BF" w:rsidRDefault="00631B3B" w:rsidP="00FC7432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C007BF" w:rsidRDefault="00631B3B" w:rsidP="000E6E11">
      <w:pPr>
        <w:pStyle w:val="Default"/>
        <w:numPr>
          <w:ilvl w:val="0"/>
          <w:numId w:val="41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Cumprir as demais disposições contidas neste Termo de Referência.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Contratante:</w:t>
      </w:r>
    </w:p>
    <w:p w:rsidR="00C26C41" w:rsidRPr="00C007BF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Convocar a adjudicatária, dentro do prazo de eficácia de sua proposta, para assinatura da Ata/Contrato;</w:t>
      </w:r>
    </w:p>
    <w:p w:rsidR="00C26C41" w:rsidRPr="00C007BF" w:rsidRDefault="00C26C4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Publicar o extrato da Ata/Contrato na forma da Lei;</w:t>
      </w:r>
    </w:p>
    <w:p w:rsidR="00FC7432" w:rsidRPr="00C007BF" w:rsidRDefault="001A767A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color w:val="auto"/>
          <w:sz w:val="22"/>
          <w:szCs w:val="22"/>
        </w:rPr>
      </w:pPr>
      <w:r w:rsidRPr="00C007BF">
        <w:rPr>
          <w:rFonts w:asciiTheme="minorHAnsi" w:hAnsiTheme="minorHAnsi"/>
          <w:color w:val="auto"/>
          <w:sz w:val="22"/>
          <w:szCs w:val="22"/>
        </w:rPr>
        <w:t>Emitir Nota de Empenho e/ou Ordem de Fornecimento</w:t>
      </w:r>
      <w:r w:rsidR="00FC7432" w:rsidRPr="00C007BF">
        <w:rPr>
          <w:rFonts w:asciiTheme="minorHAnsi" w:hAnsiTheme="minorHAnsi"/>
          <w:color w:val="auto"/>
          <w:sz w:val="22"/>
          <w:szCs w:val="22"/>
        </w:rPr>
        <w:t>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Reservar local apropriado para o recebimento do objeto deste documento;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Ter pessoal disponível para o recebimento do </w:t>
      </w:r>
      <w:r w:rsidR="00FC7432" w:rsidRPr="00C007BF">
        <w:rPr>
          <w:rFonts w:asciiTheme="minorHAnsi" w:hAnsiTheme="minorHAnsi"/>
          <w:sz w:val="22"/>
          <w:szCs w:val="22"/>
        </w:rPr>
        <w:t>objeto</w:t>
      </w:r>
      <w:r w:rsidRPr="00C007BF">
        <w:rPr>
          <w:rFonts w:asciiTheme="minorHAnsi" w:hAnsiTheme="minorHAnsi"/>
          <w:sz w:val="22"/>
          <w:szCs w:val="22"/>
        </w:rPr>
        <w:t xml:space="preserve"> no horário previsto neste documento;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Receber o </w:t>
      </w:r>
      <w:r w:rsidR="00FC7432" w:rsidRPr="00C007BF">
        <w:rPr>
          <w:rFonts w:asciiTheme="minorHAnsi" w:hAnsiTheme="minorHAnsi"/>
          <w:sz w:val="22"/>
          <w:szCs w:val="22"/>
        </w:rPr>
        <w:t>objeto</w:t>
      </w:r>
      <w:r w:rsidRPr="00C007BF">
        <w:rPr>
          <w:rFonts w:asciiTheme="minorHAnsi" w:hAnsiTheme="minorHAnsi"/>
          <w:sz w:val="22"/>
          <w:szCs w:val="22"/>
        </w:rPr>
        <w:t xml:space="preserve"> de acordo com as especificações descritas neste documento;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Permitir o livre acesso dos empregados da empresa nas dependências da </w:t>
      </w:r>
      <w:r w:rsidR="00FC7432" w:rsidRPr="00C007BF">
        <w:rPr>
          <w:rFonts w:asciiTheme="minorHAnsi" w:hAnsiTheme="minorHAnsi"/>
          <w:sz w:val="22"/>
          <w:szCs w:val="22"/>
        </w:rPr>
        <w:t xml:space="preserve">Contratante </w:t>
      </w:r>
      <w:r w:rsidRPr="00C007BF">
        <w:rPr>
          <w:rFonts w:asciiTheme="minorHAnsi" w:hAnsiTheme="minorHAnsi"/>
          <w:sz w:val="22"/>
          <w:szCs w:val="22"/>
        </w:rPr>
        <w:t>para entrega do objeto deste Termo de Referência, desde que uniformizados e identificados com crachá;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Efetuar o pagamento nas condições e preço pactuado;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Comunicar à </w:t>
      </w:r>
      <w:r w:rsidR="00FC7432" w:rsidRPr="00C007BF">
        <w:rPr>
          <w:rFonts w:asciiTheme="minorHAnsi" w:hAnsiTheme="minorHAnsi"/>
          <w:sz w:val="22"/>
          <w:szCs w:val="22"/>
        </w:rPr>
        <w:t>Contratada</w:t>
      </w:r>
      <w:r w:rsidRPr="00C007BF">
        <w:rPr>
          <w:rFonts w:asciiTheme="minorHAnsi" w:hAnsiTheme="minorHAns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Acompanhar e fiscalizar a execução do Contrato, por intermédio de representante especialmente designado;</w:t>
      </w:r>
    </w:p>
    <w:p w:rsidR="00631B3B" w:rsidRPr="00C007BF" w:rsidRDefault="00631B3B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Cumprir as demais disposições contidas neste Termo de Referência.</w:t>
      </w:r>
    </w:p>
    <w:p w:rsidR="000E6E11" w:rsidRPr="00C007BF" w:rsidRDefault="000E6E11" w:rsidP="00FC7432">
      <w:pPr>
        <w:pStyle w:val="Default"/>
        <w:numPr>
          <w:ilvl w:val="0"/>
          <w:numId w:val="42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Aplicar à Contratada as penalidades regulamentares contratuais.</w:t>
      </w:r>
    </w:p>
    <w:p w:rsidR="00631B3B" w:rsidRPr="00C007BF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DO PAGAMENTO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>Havendo erro na Fatura/Nota Fiscal/Recibo, ou outra circunstância que desaprove a liquidação, o pagamento será sustado, até que sejam tomadas as medidas saneadoras necessárias.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spacing w:after="60"/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Os pagamentos podem ser realizados com recursos próprios e/ou</w:t>
      </w:r>
      <w:proofErr w:type="gramStart"/>
      <w:r w:rsidRPr="00C007BF">
        <w:rPr>
          <w:rFonts w:asciiTheme="minorHAnsi" w:hAnsiTheme="minorHAnsi"/>
          <w:sz w:val="22"/>
          <w:szCs w:val="22"/>
        </w:rPr>
        <w:t xml:space="preserve">  </w:t>
      </w:r>
      <w:proofErr w:type="gramEnd"/>
      <w:r w:rsidRPr="00C007BF">
        <w:rPr>
          <w:rFonts w:asciiTheme="minorHAnsi" w:hAnsiTheme="minorHAnsi"/>
          <w:sz w:val="22"/>
          <w:szCs w:val="22"/>
        </w:rPr>
        <w:t>com recursos de convênios.</w:t>
      </w:r>
    </w:p>
    <w:p w:rsidR="000E6E11" w:rsidRPr="00C007BF" w:rsidRDefault="000E6E11" w:rsidP="000E6E11">
      <w:pPr>
        <w:pStyle w:val="PargrafodaLista"/>
        <w:spacing w:after="60"/>
        <w:ind w:left="426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ATA DE REGISTRO DE PREÇOS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O prazo de validade da ARP será de 12 (doze) meses, contados a partir da sua assinatura, tendo sua </w:t>
      </w:r>
      <w:r w:rsidRPr="00C007BF">
        <w:rPr>
          <w:rFonts w:asciiTheme="minorHAnsi" w:hAnsiTheme="minorHAnsi"/>
          <w:bCs/>
          <w:sz w:val="22"/>
          <w:szCs w:val="22"/>
        </w:rPr>
        <w:t>eficácia</w:t>
      </w:r>
      <w:r w:rsidRPr="00C007BF">
        <w:rPr>
          <w:rFonts w:asciiTheme="minorHAnsi" w:hAnsiTheme="minorHAnsi"/>
          <w:sz w:val="22"/>
          <w:szCs w:val="22"/>
        </w:rPr>
        <w:t xml:space="preserve"> a partir da data de publicação do seu extrato no Diário Oficial do Município. </w:t>
      </w:r>
    </w:p>
    <w:p w:rsidR="000E6E11" w:rsidRPr="00C007BF" w:rsidRDefault="000E6E11" w:rsidP="000E6E1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0E6E11" w:rsidRPr="00C007BF" w:rsidRDefault="000E6E11" w:rsidP="000E6E1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remanejamento de que trata o item</w:t>
      </w:r>
      <w:r w:rsidRPr="00C007BF">
        <w:rPr>
          <w:rFonts w:asciiTheme="minorHAnsi" w:hAnsiTheme="minorHAnsi"/>
          <w:bCs/>
          <w:sz w:val="22"/>
          <w:szCs w:val="22"/>
        </w:rPr>
        <w:t xml:space="preserve"> 12.2 </w:t>
      </w:r>
      <w:r w:rsidRPr="00C007BF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0961D7" w:rsidRPr="00C007BF" w:rsidRDefault="000E6E11" w:rsidP="0005629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gestão da ARP caberá à Agência Municipal de Regulação de Serviços Delegados – ARSER,</w:t>
      </w:r>
      <w:r w:rsidR="008F2125" w:rsidRPr="00C007BF">
        <w:rPr>
          <w:rFonts w:asciiTheme="minorHAnsi" w:hAnsiTheme="minorHAnsi"/>
          <w:sz w:val="22"/>
          <w:szCs w:val="22"/>
        </w:rPr>
        <w:t xml:space="preserve"> situada na Rua Pedro Monteiro,</w:t>
      </w:r>
      <w:r w:rsidRPr="00C007BF">
        <w:rPr>
          <w:rFonts w:asciiTheme="minorHAnsi" w:hAnsiTheme="minorHAnsi"/>
          <w:sz w:val="22"/>
          <w:szCs w:val="22"/>
        </w:rPr>
        <w:t xml:space="preserve"> 47 - CEP: </w:t>
      </w:r>
      <w:proofErr w:type="gramStart"/>
      <w:r w:rsidRPr="00C007BF">
        <w:rPr>
          <w:rFonts w:asciiTheme="minorHAnsi" w:hAnsiTheme="minorHAnsi"/>
          <w:sz w:val="22"/>
          <w:szCs w:val="22"/>
        </w:rPr>
        <w:t>57020-380, Telefone (82)</w:t>
      </w:r>
      <w:proofErr w:type="gramEnd"/>
      <w:r w:rsidRPr="00C007BF">
        <w:rPr>
          <w:rFonts w:asciiTheme="minorHAnsi" w:hAnsiTheme="minorHAnsi"/>
          <w:sz w:val="22"/>
          <w:szCs w:val="22"/>
        </w:rPr>
        <w:t xml:space="preserve"> 3315-7336/7327/7323.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Compete ao Órgão </w:t>
      </w:r>
      <w:r w:rsidR="005448E9" w:rsidRPr="00C007BF">
        <w:rPr>
          <w:rFonts w:asciiTheme="minorHAnsi" w:hAnsiTheme="minorHAnsi"/>
          <w:sz w:val="22"/>
          <w:szCs w:val="22"/>
        </w:rPr>
        <w:t xml:space="preserve">Gerenciador e </w:t>
      </w:r>
      <w:r w:rsidR="000961D7" w:rsidRPr="00C007BF">
        <w:rPr>
          <w:rFonts w:asciiTheme="minorHAnsi" w:hAnsiTheme="minorHAnsi"/>
          <w:sz w:val="22"/>
          <w:szCs w:val="22"/>
        </w:rPr>
        <w:t xml:space="preserve">aos </w:t>
      </w:r>
      <w:r w:rsidRPr="00C007BF">
        <w:rPr>
          <w:rFonts w:asciiTheme="minorHAnsi" w:hAnsiTheme="minorHAnsi"/>
          <w:sz w:val="22"/>
          <w:szCs w:val="22"/>
        </w:rPr>
        <w:t>Participante</w:t>
      </w:r>
      <w:r w:rsidR="005448E9" w:rsidRPr="00C007BF">
        <w:rPr>
          <w:rFonts w:asciiTheme="minorHAnsi" w:hAnsiTheme="minorHAnsi"/>
          <w:sz w:val="22"/>
          <w:szCs w:val="22"/>
        </w:rPr>
        <w:t>s</w:t>
      </w:r>
      <w:r w:rsidRPr="00C007BF">
        <w:rPr>
          <w:rFonts w:asciiTheme="minorHAnsi" w:hAnsiTheme="minorHAns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C007BF">
        <w:rPr>
          <w:rFonts w:asciiTheme="minorHAnsi" w:hAnsiTheme="minorHAnsi"/>
          <w:bCs/>
          <w:sz w:val="22"/>
          <w:szCs w:val="22"/>
        </w:rPr>
        <w:t>contratuais</w:t>
      </w:r>
      <w:r w:rsidRPr="00C007BF">
        <w:rPr>
          <w:rFonts w:asciiTheme="minorHAnsi" w:hAnsiTheme="minorHAns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Caberá</w:t>
      </w:r>
      <w:r w:rsidRPr="00C007BF">
        <w:rPr>
          <w:rFonts w:asciiTheme="minorHAnsi" w:hAnsiTheme="minorHAnsi"/>
          <w:sz w:val="22"/>
          <w:szCs w:val="22"/>
        </w:rPr>
        <w:t xml:space="preserve"> ao Gerenciador da Ata realizar, periodicamente, pesquisa de mercado para comprovação da vantajosidade dos preços registrados.</w:t>
      </w:r>
    </w:p>
    <w:p w:rsidR="00C26C41" w:rsidRPr="00C007BF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eastAsia="Calibr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kern w:val="32"/>
          <w:sz w:val="22"/>
          <w:szCs w:val="22"/>
        </w:rPr>
        <w:t>DA CONTRATAÇÃO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O prazo para a licitante vencedora assinar </w:t>
      </w:r>
      <w:r w:rsidR="005D1071" w:rsidRPr="00C007BF">
        <w:rPr>
          <w:rFonts w:asciiTheme="minorHAnsi" w:hAnsiTheme="minorHAnsi" w:cs="Tahoma"/>
          <w:sz w:val="22"/>
          <w:szCs w:val="22"/>
        </w:rPr>
        <w:t>o respectivo termo de contrato, aceitar ou retirar a nota de empenho</w:t>
      </w:r>
      <w:r w:rsidR="005D1071" w:rsidRPr="00C007BF">
        <w:rPr>
          <w:rFonts w:asciiTheme="minorHAnsi" w:hAnsiTheme="minorHAnsi"/>
          <w:bCs/>
          <w:sz w:val="22"/>
          <w:szCs w:val="22"/>
        </w:rPr>
        <w:t xml:space="preserve"> </w:t>
      </w:r>
      <w:r w:rsidRPr="00C007BF">
        <w:rPr>
          <w:rFonts w:asciiTheme="minorHAnsi" w:hAnsiTheme="minorHAns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C007BF" w:rsidRDefault="00C26C41" w:rsidP="0005629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1F7172" w:rsidRPr="00C007BF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termo de contrato poderá ser substituído por Nota de Empenho e/ou por Ordem de Fornecimento.</w:t>
      </w:r>
    </w:p>
    <w:p w:rsidR="001F7172" w:rsidRPr="00C007BF" w:rsidRDefault="001F7172" w:rsidP="001F7172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Quando a administração fizer a opção de celebrar contrato, a vigência deste instrumento contratual ficará adstrita aos respectivos créditos orçamentários. 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FISCALIZAÇÃO DO CONTRATO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A </w:t>
      </w:r>
      <w:r w:rsidRPr="00C007BF">
        <w:rPr>
          <w:rFonts w:asciiTheme="minorHAnsi" w:hAnsiTheme="minorHAnsi"/>
          <w:bCs/>
          <w:sz w:val="22"/>
          <w:szCs w:val="22"/>
        </w:rPr>
        <w:t>contratação</w:t>
      </w:r>
      <w:r w:rsidRPr="00C007BF">
        <w:rPr>
          <w:rFonts w:asciiTheme="minorHAnsi" w:hAnsiTheme="minorHAnsi"/>
          <w:sz w:val="22"/>
          <w:szCs w:val="22"/>
        </w:rPr>
        <w:t xml:space="preserve"> será acompanhada e fiscalizada por servidor a ser designado pelo Gestor da Pasta.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lastRenderedPageBreak/>
        <w:t xml:space="preserve">O </w:t>
      </w:r>
      <w:r w:rsidR="001F7172" w:rsidRPr="00C007BF">
        <w:rPr>
          <w:rFonts w:asciiTheme="minorHAnsi" w:hAnsiTheme="minorHAnsi"/>
          <w:sz w:val="22"/>
          <w:szCs w:val="22"/>
        </w:rPr>
        <w:t>fiscal</w:t>
      </w:r>
      <w:r w:rsidRPr="00C007BF">
        <w:rPr>
          <w:rFonts w:asciiTheme="minorHAnsi" w:hAnsiTheme="minorHAnsi"/>
          <w:sz w:val="22"/>
          <w:szCs w:val="22"/>
        </w:rPr>
        <w:t xml:space="preserve"> da contratação terá, entre outras, as seguintes atribuições: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Expedir</w:t>
      </w:r>
      <w:r w:rsidR="00C26C41" w:rsidRPr="00C007BF">
        <w:rPr>
          <w:rFonts w:asciiTheme="minorHAnsi" w:hAnsiTheme="minorHAnsi"/>
          <w:sz w:val="22"/>
          <w:szCs w:val="22"/>
        </w:rPr>
        <w:t xml:space="preserve"> ordens de </w:t>
      </w:r>
      <w:r w:rsidRPr="00C007BF">
        <w:rPr>
          <w:rFonts w:asciiTheme="minorHAnsi" w:hAnsiTheme="minorHAnsi"/>
          <w:sz w:val="22"/>
          <w:szCs w:val="22"/>
        </w:rPr>
        <w:t>fornecimento</w:t>
      </w:r>
      <w:r w:rsidR="00C26C41" w:rsidRPr="00C007BF">
        <w:rPr>
          <w:rFonts w:asciiTheme="minorHAnsi" w:hAnsiTheme="minorHAnsi"/>
          <w:sz w:val="22"/>
          <w:szCs w:val="22"/>
        </w:rPr>
        <w:t xml:space="preserve">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</w:t>
      </w:r>
      <w:r w:rsidR="00C26C41" w:rsidRPr="00C007BF">
        <w:rPr>
          <w:rFonts w:asciiTheme="minorHAnsi" w:hAnsiTheme="minorHAnsi"/>
          <w:sz w:val="22"/>
          <w:szCs w:val="22"/>
        </w:rPr>
        <w:t>roceder ao acompanhamento técnico da execução dos serviços;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F</w:t>
      </w:r>
      <w:r w:rsidR="00C26C41" w:rsidRPr="00C007BF">
        <w:rPr>
          <w:rFonts w:asciiTheme="minorHAnsi" w:hAnsiTheme="minorHAnsi"/>
          <w:sz w:val="22"/>
          <w:szCs w:val="22"/>
        </w:rPr>
        <w:t xml:space="preserve">iscalizar a execução do Contrato quanto à qualidade desejada;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C</w:t>
      </w:r>
      <w:r w:rsidR="00C26C41" w:rsidRPr="00C007BF">
        <w:rPr>
          <w:rFonts w:asciiTheme="minorHAnsi" w:hAnsiTheme="minorHAns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F</w:t>
      </w:r>
      <w:r w:rsidR="00C26C41" w:rsidRPr="00C007BF">
        <w:rPr>
          <w:rFonts w:asciiTheme="minorHAnsi" w:hAnsiTheme="minorHAns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Atestar</w:t>
      </w:r>
      <w:r w:rsidR="00C26C41" w:rsidRPr="00C007BF">
        <w:rPr>
          <w:rFonts w:asciiTheme="minorHAnsi" w:hAnsiTheme="minorHAnsi"/>
          <w:sz w:val="22"/>
          <w:szCs w:val="22"/>
        </w:rPr>
        <w:t xml:space="preserve"> as notas fiscais relativas </w:t>
      </w:r>
      <w:proofErr w:type="gramStart"/>
      <w:r w:rsidR="00C26C41" w:rsidRPr="00C007BF">
        <w:rPr>
          <w:rFonts w:asciiTheme="minorHAnsi" w:hAnsiTheme="minorHAnsi"/>
          <w:sz w:val="22"/>
          <w:szCs w:val="22"/>
        </w:rPr>
        <w:t>a</w:t>
      </w:r>
      <w:proofErr w:type="gramEnd"/>
      <w:r w:rsidR="00C26C41" w:rsidRPr="00C007BF">
        <w:rPr>
          <w:rFonts w:asciiTheme="minorHAnsi" w:hAnsiTheme="minorHAnsi"/>
          <w:sz w:val="22"/>
          <w:szCs w:val="22"/>
        </w:rPr>
        <w:t xml:space="preserve"> execução dos serviços para efeito de pagamentos; </w:t>
      </w:r>
    </w:p>
    <w:p w:rsidR="00C26C41" w:rsidRPr="00C007BF" w:rsidRDefault="00A56293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R</w:t>
      </w:r>
      <w:r w:rsidR="00C26C41" w:rsidRPr="00C007BF">
        <w:rPr>
          <w:rFonts w:asciiTheme="minorHAnsi" w:hAnsiTheme="minorHAns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Pr="00C007BF" w:rsidRDefault="005C20E6" w:rsidP="005C20E6">
      <w:pPr>
        <w:pStyle w:val="Default"/>
        <w:numPr>
          <w:ilvl w:val="0"/>
          <w:numId w:val="43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 </w:t>
      </w:r>
      <w:r w:rsidR="00A56293" w:rsidRPr="00C007BF">
        <w:rPr>
          <w:rFonts w:asciiTheme="minorHAnsi" w:hAnsiTheme="minorHAnsi"/>
          <w:sz w:val="22"/>
          <w:szCs w:val="22"/>
        </w:rPr>
        <w:t>S</w:t>
      </w:r>
      <w:r w:rsidR="00C26C41" w:rsidRPr="00C007BF">
        <w:rPr>
          <w:rFonts w:asciiTheme="minorHAnsi" w:hAnsiTheme="minorHAns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bCs/>
          <w:sz w:val="22"/>
          <w:szCs w:val="22"/>
        </w:rPr>
        <w:t>DO REAJUSTE, DOS ACRÉSCIMOS OU SUPRESSÕES</w:t>
      </w:r>
    </w:p>
    <w:p w:rsidR="006868B6" w:rsidRPr="00C007BF" w:rsidRDefault="006868B6" w:rsidP="006868B6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Cs/>
          <w:sz w:val="22"/>
          <w:szCs w:val="22"/>
        </w:rPr>
        <w:t xml:space="preserve">Fica </w:t>
      </w:r>
      <w:r w:rsidRPr="00C007BF">
        <w:rPr>
          <w:rFonts w:asciiTheme="minorHAnsi" w:hAnsiTheme="minorHAnsi"/>
          <w:sz w:val="22"/>
          <w:szCs w:val="22"/>
        </w:rPr>
        <w:t>proibido</w:t>
      </w:r>
      <w:r w:rsidRPr="00C007BF">
        <w:rPr>
          <w:rFonts w:asciiTheme="minorHAnsi" w:hAnsiTheme="minorHAnsi"/>
          <w:bCs/>
          <w:sz w:val="22"/>
          <w:szCs w:val="22"/>
        </w:rPr>
        <w:t xml:space="preserve"> o reajuste do valor durante a vigência do contrato ou ata.</w:t>
      </w:r>
    </w:p>
    <w:p w:rsidR="006868B6" w:rsidRPr="00C007BF" w:rsidRDefault="006868B6" w:rsidP="006868B6">
      <w:pPr>
        <w:pStyle w:val="PargrafodaLista"/>
        <w:numPr>
          <w:ilvl w:val="2"/>
          <w:numId w:val="46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Após o período mencionado no “caput”, será admitido o reajuste, utilizando-se como base o IPCA (Índice de Preços ao Consumidor Amplo).</w:t>
      </w:r>
    </w:p>
    <w:p w:rsidR="006868B6" w:rsidRPr="00C007BF" w:rsidRDefault="006868B6" w:rsidP="006868B6">
      <w:pPr>
        <w:pStyle w:val="PargrafodaLista"/>
        <w:numPr>
          <w:ilvl w:val="1"/>
          <w:numId w:val="7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Pode ocorrer </w:t>
      </w:r>
      <w:proofErr w:type="gramStart"/>
      <w:r w:rsidRPr="00C007BF">
        <w:rPr>
          <w:rFonts w:asciiTheme="minorHAnsi" w:hAnsiTheme="minorHAnsi"/>
          <w:sz w:val="22"/>
          <w:szCs w:val="22"/>
        </w:rPr>
        <w:t>a</w:t>
      </w:r>
      <w:proofErr w:type="gramEnd"/>
      <w:r w:rsidRPr="00C007BF">
        <w:rPr>
          <w:rFonts w:asciiTheme="minorHAnsi" w:hAnsiTheme="minorHAnsi"/>
          <w:sz w:val="22"/>
          <w:szCs w:val="22"/>
        </w:rPr>
        <w:t xml:space="preserve"> revisão do contrato ou ata, tencionando o reequilíbrio econômico financeiro, desde que haja incidência de fato imprevisível e devidamente justificado, conforme art. 37, XXI, DA CF/88, </w:t>
      </w:r>
      <w:proofErr w:type="spellStart"/>
      <w:r w:rsidRPr="00C007BF">
        <w:rPr>
          <w:rFonts w:asciiTheme="minorHAnsi" w:hAnsiTheme="minorHAnsi"/>
          <w:sz w:val="22"/>
          <w:szCs w:val="22"/>
        </w:rPr>
        <w:t>arts</w:t>
      </w:r>
      <w:proofErr w:type="spellEnd"/>
      <w:r w:rsidRPr="00C007BF">
        <w:rPr>
          <w:rFonts w:asciiTheme="minorHAnsi" w:hAnsiTheme="minorHAnsi"/>
          <w:sz w:val="22"/>
          <w:szCs w:val="22"/>
        </w:rPr>
        <w:t xml:space="preserve">. 57,§§ 1º e 2º, 65, II, “d” e § 6º, todos da Lei n.8666/93 e </w:t>
      </w:r>
      <w:proofErr w:type="spellStart"/>
      <w:r w:rsidRPr="00C007BF">
        <w:rPr>
          <w:rFonts w:asciiTheme="minorHAnsi" w:hAnsiTheme="minorHAnsi"/>
          <w:sz w:val="22"/>
          <w:szCs w:val="22"/>
        </w:rPr>
        <w:t>arts</w:t>
      </w:r>
      <w:proofErr w:type="spellEnd"/>
      <w:r w:rsidRPr="00C007BF">
        <w:rPr>
          <w:rFonts w:asciiTheme="minorHAnsi" w:hAnsiTheme="minorHAnsi"/>
          <w:sz w:val="22"/>
          <w:szCs w:val="22"/>
        </w:rPr>
        <w:t>. 17/19 do Decreto Municipal nº 7.496/2013.</w:t>
      </w:r>
    </w:p>
    <w:p w:rsidR="00C26C41" w:rsidRPr="00C007BF" w:rsidRDefault="006868B6" w:rsidP="006868B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revisão deverá incidir a partir da data em que for protocolado, com fundamento no item anterior, o pedido da contratada.</w:t>
      </w:r>
    </w:p>
    <w:p w:rsidR="00C26C41" w:rsidRPr="00C007BF" w:rsidRDefault="00C26C41" w:rsidP="00C26C41">
      <w:pPr>
        <w:pStyle w:val="PargrafodaLista"/>
        <w:tabs>
          <w:tab w:val="left" w:pos="284"/>
        </w:tabs>
        <w:spacing w:after="50"/>
        <w:ind w:left="0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 RESCISÃO</w:t>
      </w:r>
      <w:r w:rsidRPr="00C007BF">
        <w:rPr>
          <w:rFonts w:asciiTheme="minorHAnsi" w:hAnsiTheme="minorHAnsi"/>
          <w:sz w:val="22"/>
          <w:szCs w:val="22"/>
        </w:rPr>
        <w:t>: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Em conformidade com o que dispõe os art.s 77 a 80 da Lei 8.666/93, qualquer das partes poderá </w:t>
      </w:r>
      <w:r w:rsidRPr="00C007BF">
        <w:rPr>
          <w:rFonts w:asciiTheme="minorHAnsi" w:hAnsiTheme="minorHAnsi"/>
          <w:bCs/>
          <w:sz w:val="22"/>
          <w:szCs w:val="22"/>
        </w:rPr>
        <w:t>rescindir</w:t>
      </w:r>
      <w:r w:rsidRPr="00C007BF">
        <w:rPr>
          <w:rFonts w:asciiTheme="minorHAnsi" w:hAnsiTheme="minorHAns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 w:rsidRPr="00C007BF">
        <w:rPr>
          <w:rFonts w:asciiTheme="minorHAnsi" w:hAnsiTheme="minorHAnsi"/>
          <w:sz w:val="22"/>
          <w:szCs w:val="22"/>
        </w:rPr>
        <w:t>30 (trinta) dias de antecedência, hipótese</w:t>
      </w:r>
      <w:proofErr w:type="gramEnd"/>
      <w:r w:rsidRPr="00C007BF">
        <w:rPr>
          <w:rFonts w:asciiTheme="minorHAnsi" w:hAnsiTheme="minorHAns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Na </w:t>
      </w:r>
      <w:r w:rsidRPr="00C007BF">
        <w:rPr>
          <w:rFonts w:asciiTheme="minorHAnsi" w:hAnsiTheme="minorHAnsi"/>
          <w:bCs/>
          <w:sz w:val="22"/>
          <w:szCs w:val="22"/>
        </w:rPr>
        <w:t>hipótese</w:t>
      </w:r>
      <w:r w:rsidRPr="00C007BF">
        <w:rPr>
          <w:rFonts w:asciiTheme="minorHAnsi" w:hAnsiTheme="minorHAns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Pr="00C007BF" w:rsidRDefault="00C26C41" w:rsidP="00C26C41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A Administração poderá rescindir o Contrato nas hipóteses previstas nos art. 78 e 79 da Lei Federal nº. 8.666/1993 com as consequências indicadas no art. 80 da mesma lei, sem prejuízo das sanções previstas em lei e neste Termo de Referência.</w:t>
      </w:r>
    </w:p>
    <w:p w:rsidR="00C26C41" w:rsidRPr="00C007BF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pStyle w:val="PargrafodaLista"/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DAS SANÇÕES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lastRenderedPageBreak/>
        <w:t xml:space="preserve">Em </w:t>
      </w:r>
      <w:r w:rsidRPr="00C007BF">
        <w:rPr>
          <w:rFonts w:asciiTheme="minorHAnsi" w:hAnsiTheme="minorHAnsi"/>
          <w:sz w:val="22"/>
          <w:szCs w:val="22"/>
        </w:rPr>
        <w:t>caso</w:t>
      </w:r>
      <w:r w:rsidRPr="00C007BF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C007BF" w:rsidRDefault="003E06B2" w:rsidP="003E06B2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C007BF">
        <w:rPr>
          <w:rFonts w:asciiTheme="minorHAnsi" w:hAnsiTheme="minorHAnsi"/>
          <w:sz w:val="22"/>
          <w:szCs w:val="22"/>
        </w:rPr>
        <w:t>prejuízos à Administração;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Pelo atraso na </w:t>
      </w:r>
      <w:r w:rsidRPr="00C007BF">
        <w:rPr>
          <w:rFonts w:asciiTheme="minorHAnsi" w:hAnsiTheme="minorHAnsi" w:cstheme="minorHAnsi"/>
          <w:sz w:val="22"/>
          <w:szCs w:val="22"/>
        </w:rPr>
        <w:t>entrega</w:t>
      </w:r>
      <w:r w:rsidRPr="00C007BF">
        <w:rPr>
          <w:rFonts w:asciiTheme="minorHAnsi" w:hAnsiTheme="minorHAns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Pela </w:t>
      </w:r>
      <w:r w:rsidRPr="00C007BF">
        <w:rPr>
          <w:rFonts w:asciiTheme="minorHAnsi" w:hAnsiTheme="minorHAnsi" w:cstheme="minorHAnsi"/>
          <w:sz w:val="22"/>
          <w:szCs w:val="22"/>
        </w:rPr>
        <w:t>demora</w:t>
      </w:r>
      <w:r w:rsidRPr="00C007BF">
        <w:rPr>
          <w:rFonts w:asciiTheme="minorHAnsi" w:hAnsiTheme="minorHAns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Pelo não </w:t>
      </w:r>
      <w:r w:rsidRPr="00C007BF">
        <w:rPr>
          <w:rFonts w:asciiTheme="minorHAnsi" w:hAnsiTheme="minorHAnsi" w:cstheme="minorHAnsi"/>
          <w:sz w:val="22"/>
          <w:szCs w:val="22"/>
        </w:rPr>
        <w:t>cumprimento</w:t>
      </w:r>
      <w:r w:rsidRPr="00C007BF">
        <w:rPr>
          <w:rFonts w:asciiTheme="minorHAnsi" w:hAnsiTheme="minorHAns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Suspensão </w:t>
      </w:r>
      <w:r w:rsidRPr="00C007BF">
        <w:rPr>
          <w:rFonts w:asciiTheme="minorHAnsi" w:hAnsiTheme="minorHAnsi" w:cstheme="minorHAnsi"/>
          <w:sz w:val="22"/>
          <w:szCs w:val="22"/>
        </w:rPr>
        <w:t>temporária</w:t>
      </w:r>
      <w:r w:rsidRPr="00C007BF">
        <w:rPr>
          <w:rFonts w:asciiTheme="minorHAnsi" w:hAnsiTheme="minorHAnsi"/>
          <w:sz w:val="22"/>
          <w:szCs w:val="22"/>
        </w:rPr>
        <w:t xml:space="preserve">, pelo período de até 02 (dois) anos, de participação em licitação e contratação com </w:t>
      </w:r>
      <w:r w:rsidR="005C20E6" w:rsidRPr="00C007BF">
        <w:rPr>
          <w:rFonts w:asciiTheme="minorHAnsi" w:hAnsiTheme="minorHAnsi"/>
          <w:sz w:val="22"/>
          <w:szCs w:val="22"/>
        </w:rPr>
        <w:t>o</w:t>
      </w:r>
      <w:r w:rsidRPr="00C007BF">
        <w:rPr>
          <w:rFonts w:asciiTheme="minorHAnsi" w:hAnsiTheme="minorHAnsi"/>
          <w:sz w:val="22"/>
          <w:szCs w:val="22"/>
        </w:rPr>
        <w:t xml:space="preserve"> Município</w:t>
      </w:r>
      <w:r w:rsidR="005C20E6" w:rsidRPr="00C007BF">
        <w:rPr>
          <w:rFonts w:asciiTheme="minorHAnsi" w:hAnsiTheme="minorHAnsi"/>
          <w:sz w:val="22"/>
          <w:szCs w:val="22"/>
        </w:rPr>
        <w:t xml:space="preserve"> de Maceió</w:t>
      </w:r>
      <w:r w:rsidRPr="00C007BF">
        <w:rPr>
          <w:rFonts w:asciiTheme="minorHAnsi" w:hAnsiTheme="minorHAnsi"/>
          <w:sz w:val="22"/>
          <w:szCs w:val="22"/>
        </w:rPr>
        <w:t>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Declaração de </w:t>
      </w:r>
      <w:r w:rsidRPr="00C007BF">
        <w:rPr>
          <w:rFonts w:asciiTheme="minorHAnsi" w:hAnsiTheme="minorHAnsi" w:cstheme="minorHAnsi"/>
          <w:sz w:val="22"/>
          <w:szCs w:val="22"/>
        </w:rPr>
        <w:t>inidoneidade</w:t>
      </w:r>
      <w:r w:rsidRPr="00C007BF">
        <w:rPr>
          <w:rFonts w:asciiTheme="minorHAnsi" w:hAnsiTheme="minorHAns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C007BF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C007BF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C007BF">
        <w:rPr>
          <w:rFonts w:asciiTheme="minorHAnsi" w:hAnsiTheme="minorHAnsi" w:cstheme="minorHAnsi"/>
          <w:sz w:val="22"/>
          <w:szCs w:val="22"/>
        </w:rPr>
        <w:t>ocorrência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FD5501" w:rsidRPr="00C007BF">
        <w:rPr>
          <w:rFonts w:asciiTheme="minorHAnsi" w:eastAsia="Calibri" w:hAnsiTheme="minorHAnsi" w:cstheme="minorHAnsi"/>
          <w:sz w:val="22"/>
          <w:szCs w:val="22"/>
        </w:rPr>
        <w:t>17</w:t>
      </w:r>
      <w:r w:rsidRPr="00C007BF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“f” e “g”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C007BF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C007BF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Decorridos 30 (trinta) dias de atraso injustificado na entrega dos produtos, a Nota de Empenho ou Contrato deverá ser </w:t>
      </w: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C007BF" w:rsidRDefault="003E06B2" w:rsidP="003E06B2">
      <w:pPr>
        <w:pStyle w:val="PargrafodaLista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C007BF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lastRenderedPageBreak/>
        <w:t xml:space="preserve">Por </w:t>
      </w:r>
      <w:r w:rsidRPr="00C007BF">
        <w:rPr>
          <w:rFonts w:asciiTheme="minorHAnsi" w:hAnsiTheme="minorHAnsi"/>
          <w:sz w:val="22"/>
          <w:szCs w:val="22"/>
        </w:rPr>
        <w:t>até</w:t>
      </w:r>
      <w:r w:rsidRPr="00C007BF">
        <w:rPr>
          <w:rFonts w:asciiTheme="minorHAnsi" w:hAnsiTheme="minorHAnsi" w:cstheme="minorHAnsi"/>
          <w:sz w:val="22"/>
          <w:szCs w:val="22"/>
        </w:rPr>
        <w:t xml:space="preserve"> 01 (um) ano,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C007BF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C007BF" w:rsidRDefault="003E06B2" w:rsidP="005C20E6">
      <w:pPr>
        <w:pStyle w:val="PargrafodaLista"/>
        <w:numPr>
          <w:ilvl w:val="2"/>
          <w:numId w:val="8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C007BF">
        <w:rPr>
          <w:rFonts w:asciiTheme="minorHAnsi" w:hAnsiTheme="minorHAnsi" w:cstheme="minorHAnsi"/>
          <w:sz w:val="22"/>
          <w:szCs w:val="22"/>
        </w:rPr>
        <w:t xml:space="preserve">Por até 02 (dois) anos, quando a </w:t>
      </w:r>
      <w:r w:rsidR="005C20E6" w:rsidRPr="00C007BF">
        <w:rPr>
          <w:rFonts w:asciiTheme="minorHAnsi" w:hAnsiTheme="minorHAnsi" w:cstheme="minorHAnsi"/>
          <w:sz w:val="22"/>
          <w:szCs w:val="22"/>
        </w:rPr>
        <w:t>Contratada</w:t>
      </w:r>
      <w:r w:rsidRPr="00C007BF">
        <w:rPr>
          <w:rFonts w:asciiTheme="minorHAnsi" w:hAnsiTheme="minorHAnsi" w:cstheme="minorHAnsi"/>
          <w:sz w:val="22"/>
          <w:szCs w:val="22"/>
        </w:rPr>
        <w:t>:</w:t>
      </w:r>
    </w:p>
    <w:p w:rsidR="003E06B2" w:rsidRPr="00C007BF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C007BF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C007BF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C007BF" w:rsidRDefault="003E06B2" w:rsidP="003E06B2">
      <w:pPr>
        <w:pStyle w:val="PargrafodaLista"/>
        <w:ind w:left="0"/>
        <w:rPr>
          <w:rFonts w:asciiTheme="minorHAnsi" w:hAnsiTheme="minorHAnsi" w:cstheme="minorHAnsi"/>
          <w:sz w:val="22"/>
          <w:szCs w:val="22"/>
        </w:rPr>
      </w:pP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FD5501" w:rsidRPr="00C007BF">
        <w:rPr>
          <w:rFonts w:asciiTheme="minorHAnsi" w:hAnsiTheme="minorHAnsi" w:cstheme="minorHAnsi"/>
          <w:sz w:val="22"/>
          <w:szCs w:val="22"/>
        </w:rPr>
        <w:t>17</w:t>
      </w:r>
      <w:r w:rsidRPr="00C007BF">
        <w:rPr>
          <w:rFonts w:asciiTheme="minorHAnsi" w:hAnsiTheme="minorHAnsi" w:cstheme="minorHAnsi"/>
          <w:sz w:val="22"/>
          <w:szCs w:val="22"/>
        </w:rPr>
        <w:t>.9</w:t>
      </w:r>
      <w:r w:rsidR="00A56293" w:rsidRPr="00C007BF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C007BF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C007BF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Pr="00C007BF" w:rsidRDefault="003E06B2" w:rsidP="005C20E6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07BF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3843FA" w:rsidRPr="00C007BF" w:rsidRDefault="003843FA" w:rsidP="003843FA">
      <w:pPr>
        <w:pStyle w:val="PargrafodaLista"/>
        <w:numPr>
          <w:ilvl w:val="1"/>
          <w:numId w:val="8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="Calibri"/>
          <w:bCs/>
          <w:sz w:val="22"/>
          <w:szCs w:val="22"/>
        </w:rPr>
      </w:pPr>
      <w:r w:rsidRPr="00C007BF">
        <w:rPr>
          <w:rFonts w:asciiTheme="minorHAnsi" w:hAnsiTheme="minorHAnsi" w:cs="Calibri"/>
          <w:bCs/>
          <w:sz w:val="22"/>
          <w:szCs w:val="22"/>
        </w:rPr>
        <w:t xml:space="preserve">As sanções </w:t>
      </w:r>
      <w:r w:rsidRPr="00C007BF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C007BF">
        <w:rPr>
          <w:rFonts w:asciiTheme="minorHAnsi" w:hAnsiTheme="minorHAnsi" w:cs="Calibri"/>
          <w:bCs/>
          <w:sz w:val="22"/>
          <w:szCs w:val="22"/>
        </w:rPr>
        <w:t xml:space="preserve"> serão registradas no SICAF. </w:t>
      </w:r>
    </w:p>
    <w:p w:rsidR="003E06B2" w:rsidRPr="00C007BF" w:rsidRDefault="003E06B2" w:rsidP="003E06B2">
      <w:pPr>
        <w:pStyle w:val="Default"/>
        <w:tabs>
          <w:tab w:val="left" w:pos="142"/>
          <w:tab w:val="left" w:pos="426"/>
        </w:tabs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007BF" w:rsidRDefault="00C26C41" w:rsidP="00C26C41">
      <w:pPr>
        <w:numPr>
          <w:ilvl w:val="0"/>
          <w:numId w:val="8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Theme="minorHAnsi" w:hAnsiTheme="minorHAnsi"/>
          <w:b/>
          <w:bCs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DISPOSIÇÕES GERAIS/INFORMAÇÕES COMPLEMENTARES</w:t>
      </w:r>
    </w:p>
    <w:p w:rsidR="00C26C41" w:rsidRPr="00C007BF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Pr="00C007BF" w:rsidRDefault="00C26C41" w:rsidP="00C26C41">
      <w:pPr>
        <w:pStyle w:val="SemEspaamento"/>
        <w:numPr>
          <w:ilvl w:val="1"/>
          <w:numId w:val="8"/>
        </w:numPr>
        <w:spacing w:before="120"/>
        <w:ind w:left="567" w:hanging="567"/>
        <w:jc w:val="both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>Eventuais pedidos de informações/esclarecimentos deverão ser encaminhados a Agência Municipal de Regulação de Serviços Delegados - ARSER</w:t>
      </w:r>
      <w:r w:rsidR="00183609" w:rsidRPr="00C007BF">
        <w:rPr>
          <w:rFonts w:asciiTheme="minorHAnsi" w:hAnsiTheme="minorHAnsi"/>
          <w:sz w:val="22"/>
          <w:szCs w:val="22"/>
        </w:rPr>
        <w:t>, através do email: gerencia.planejamento@arser</w:t>
      </w:r>
      <w:r w:rsidRPr="00C007BF">
        <w:rPr>
          <w:rFonts w:asciiTheme="minorHAnsi" w:hAnsiTheme="minorHAnsi"/>
          <w:sz w:val="22"/>
          <w:szCs w:val="22"/>
        </w:rPr>
        <w:t>.maceio.al.gov.br, telefone para contato (82) 3315-7336/7327/7323.</w:t>
      </w: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Maceió, </w:t>
      </w:r>
      <w:r w:rsidR="006E4BE8" w:rsidRPr="00C007BF">
        <w:rPr>
          <w:rFonts w:asciiTheme="minorHAnsi" w:hAnsiTheme="minorHAnsi"/>
          <w:sz w:val="22"/>
          <w:szCs w:val="22"/>
        </w:rPr>
        <w:t>0</w:t>
      </w:r>
      <w:r w:rsidR="000A28F2">
        <w:rPr>
          <w:rFonts w:asciiTheme="minorHAnsi" w:hAnsiTheme="minorHAnsi"/>
          <w:sz w:val="22"/>
          <w:szCs w:val="22"/>
        </w:rPr>
        <w:t>2</w:t>
      </w:r>
      <w:r w:rsidR="006E4BE8" w:rsidRPr="00C007BF">
        <w:rPr>
          <w:rFonts w:asciiTheme="minorHAnsi" w:hAnsiTheme="minorHAnsi"/>
          <w:sz w:val="22"/>
          <w:szCs w:val="22"/>
        </w:rPr>
        <w:t xml:space="preserve"> </w:t>
      </w:r>
      <w:r w:rsidR="000A28F2">
        <w:rPr>
          <w:rFonts w:asciiTheme="minorHAnsi" w:hAnsiTheme="minorHAnsi"/>
          <w:sz w:val="22"/>
          <w:szCs w:val="22"/>
        </w:rPr>
        <w:t>Mai</w:t>
      </w:r>
      <w:r w:rsidR="005569BF" w:rsidRPr="00C007BF">
        <w:rPr>
          <w:rFonts w:asciiTheme="minorHAnsi" w:hAnsiTheme="minorHAnsi"/>
          <w:sz w:val="22"/>
          <w:szCs w:val="22"/>
        </w:rPr>
        <w:t>o</w:t>
      </w:r>
      <w:r w:rsidR="006E4BE8" w:rsidRPr="00C007BF">
        <w:rPr>
          <w:rFonts w:asciiTheme="minorHAnsi" w:hAnsiTheme="minorHAnsi"/>
          <w:sz w:val="22"/>
          <w:szCs w:val="22"/>
        </w:rPr>
        <w:t xml:space="preserve"> </w:t>
      </w:r>
      <w:r w:rsidRPr="00C007BF">
        <w:rPr>
          <w:rFonts w:asciiTheme="minorHAnsi" w:hAnsiTheme="minorHAnsi"/>
          <w:sz w:val="22"/>
          <w:szCs w:val="22"/>
        </w:rPr>
        <w:t>de 2017.</w:t>
      </w:r>
    </w:p>
    <w:p w:rsidR="00C26C41" w:rsidRPr="00C007BF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26C41" w:rsidP="00C26C41">
      <w:pPr>
        <w:ind w:left="284"/>
        <w:jc w:val="center"/>
        <w:rPr>
          <w:rFonts w:asciiTheme="minorHAnsi" w:hAnsiTheme="minorHAnsi"/>
          <w:sz w:val="22"/>
          <w:szCs w:val="22"/>
        </w:rPr>
      </w:pPr>
    </w:p>
    <w:p w:rsidR="00C26C41" w:rsidRPr="00C007BF" w:rsidRDefault="00C370E3" w:rsidP="00C26C41">
      <w:pPr>
        <w:jc w:val="center"/>
        <w:rPr>
          <w:rFonts w:asciiTheme="minorHAnsi" w:hAnsiTheme="minorHAnsi"/>
          <w:sz w:val="22"/>
          <w:szCs w:val="22"/>
        </w:rPr>
      </w:pPr>
      <w:proofErr w:type="spellStart"/>
      <w:r w:rsidRPr="00C007BF">
        <w:rPr>
          <w:rFonts w:asciiTheme="minorHAnsi" w:hAnsiTheme="minorHAnsi"/>
          <w:sz w:val="22"/>
          <w:szCs w:val="22"/>
        </w:rPr>
        <w:t>Elizame</w:t>
      </w:r>
      <w:proofErr w:type="spellEnd"/>
      <w:r w:rsidRPr="00C007BF">
        <w:rPr>
          <w:rFonts w:asciiTheme="minorHAnsi" w:hAnsiTheme="minorHAnsi"/>
          <w:sz w:val="22"/>
          <w:szCs w:val="22"/>
        </w:rPr>
        <w:t xml:space="preserve"> Guedes Evangelista</w:t>
      </w:r>
    </w:p>
    <w:p w:rsidR="00C26C41" w:rsidRPr="00C007BF" w:rsidRDefault="00D34F22" w:rsidP="00C26C41">
      <w:pPr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Gerê</w:t>
      </w:r>
      <w:r w:rsidR="00C370E3" w:rsidRPr="00C007BF">
        <w:rPr>
          <w:rFonts w:asciiTheme="minorHAnsi" w:hAnsiTheme="minorHAnsi"/>
          <w:sz w:val="22"/>
          <w:szCs w:val="22"/>
        </w:rPr>
        <w:t>ncia de Planejamento e Contratações</w:t>
      </w:r>
      <w:r w:rsidR="00033806" w:rsidRPr="00C007BF">
        <w:rPr>
          <w:rFonts w:asciiTheme="minorHAnsi" w:hAnsiTheme="minorHAnsi"/>
          <w:sz w:val="22"/>
          <w:szCs w:val="22"/>
        </w:rPr>
        <w:t>/ARSER</w:t>
      </w:r>
    </w:p>
    <w:p w:rsidR="00C26C41" w:rsidRPr="00C007BF" w:rsidRDefault="00C26C41" w:rsidP="00C26C41">
      <w:pPr>
        <w:jc w:val="both"/>
        <w:rPr>
          <w:rFonts w:asciiTheme="minorHAnsi" w:hAnsiTheme="minorHAnsi" w:cstheme="minorHAnsi"/>
          <w:color w:val="FF0000"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color w:val="FF0000"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D31A2E" w:rsidRPr="00C007BF" w:rsidRDefault="00D31A2E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C26C41">
      <w:pPr>
        <w:jc w:val="center"/>
        <w:rPr>
          <w:rFonts w:asciiTheme="minorHAnsi" w:hAnsiTheme="minorHAnsi"/>
          <w:b/>
          <w:sz w:val="22"/>
          <w:szCs w:val="22"/>
        </w:rPr>
      </w:pPr>
    </w:p>
    <w:p w:rsidR="00C26C41" w:rsidRPr="00C007BF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>ANEXO I</w:t>
      </w:r>
    </w:p>
    <w:p w:rsidR="00C26C41" w:rsidRPr="00C007BF" w:rsidRDefault="00C26C41" w:rsidP="00E17B87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b/>
          <w:sz w:val="22"/>
          <w:szCs w:val="22"/>
        </w:rPr>
        <w:t>1 - DO OBJETO</w:t>
      </w:r>
    </w:p>
    <w:p w:rsidR="00685DB8" w:rsidRPr="00C007BF" w:rsidRDefault="00C26C41" w:rsidP="00C26C41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  <w:r w:rsidRPr="00C007BF">
        <w:rPr>
          <w:rFonts w:asciiTheme="minorHAnsi" w:hAnsiTheme="minorHAnsi" w:cs="Arial"/>
          <w:sz w:val="22"/>
          <w:szCs w:val="22"/>
        </w:rPr>
        <w:t xml:space="preserve">O objeto perfaz registrar preços </w:t>
      </w:r>
      <w:r w:rsidR="001A7EEA" w:rsidRPr="00C007BF">
        <w:rPr>
          <w:rFonts w:asciiTheme="minorHAnsi" w:hAnsiTheme="minorHAnsi" w:cs="Arial"/>
          <w:sz w:val="22"/>
          <w:szCs w:val="22"/>
        </w:rPr>
        <w:t>para aquisição</w:t>
      </w:r>
      <w:r w:rsidR="00685DB8" w:rsidRPr="00C007BF">
        <w:rPr>
          <w:rFonts w:asciiTheme="minorHAnsi" w:hAnsiTheme="minorHAnsi" w:cs="Arial"/>
          <w:sz w:val="22"/>
          <w:szCs w:val="22"/>
        </w:rPr>
        <w:t xml:space="preserve"> de carimbos auto-entintáveis, de placas de texto confec</w:t>
      </w:r>
      <w:bookmarkStart w:id="2" w:name="_GoBack"/>
      <w:bookmarkEnd w:id="2"/>
      <w:r w:rsidR="00685DB8" w:rsidRPr="00C007BF">
        <w:rPr>
          <w:rFonts w:asciiTheme="minorHAnsi" w:hAnsiTheme="minorHAnsi" w:cs="Arial"/>
          <w:sz w:val="22"/>
          <w:szCs w:val="22"/>
        </w:rPr>
        <w:t xml:space="preserve">cionadas em borracha a laser, e de refis, mediante fornecimento parcelado, durante o exercício de 2017, para atendimento aos diversos Órgãos e Entidades da Administração Pública do Município de Maceió, nas especificações e quantidades constantes </w:t>
      </w:r>
      <w:r w:rsidR="00746689" w:rsidRPr="00C007BF">
        <w:rPr>
          <w:rFonts w:asciiTheme="minorHAnsi" w:hAnsiTheme="minorHAnsi" w:cs="Arial"/>
          <w:sz w:val="22"/>
          <w:szCs w:val="22"/>
        </w:rPr>
        <w:t>abaixo:</w:t>
      </w:r>
    </w:p>
    <w:p w:rsidR="00C26C41" w:rsidRPr="00C007BF" w:rsidRDefault="00C26C41" w:rsidP="00C26C41">
      <w:pPr>
        <w:spacing w:before="120"/>
        <w:jc w:val="both"/>
        <w:rPr>
          <w:rFonts w:asciiTheme="minorHAnsi" w:hAnsiTheme="minorHAnsi" w:cs="Arial"/>
          <w:sz w:val="22"/>
          <w:szCs w:val="22"/>
        </w:rPr>
      </w:pPr>
    </w:p>
    <w:tbl>
      <w:tblPr>
        <w:tblW w:w="88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000"/>
      </w:tblPr>
      <w:tblGrid>
        <w:gridCol w:w="952"/>
        <w:gridCol w:w="992"/>
        <w:gridCol w:w="4678"/>
        <w:gridCol w:w="1276"/>
        <w:gridCol w:w="992"/>
      </w:tblGrid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  <w:u w:val="single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AUTO-ENTINTÁVEL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Grupo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Área de impressão, a saber: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D3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915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1875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737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780</w:t>
            </w:r>
          </w:p>
        </w:tc>
      </w:tr>
      <w:tr w:rsidR="007D3D28" w:rsidRPr="00C007BF" w:rsidTr="005D55F9">
        <w:trPr>
          <w:trHeight w:val="157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Desmontável; de fácil manuseio; com visor transparente para colocação do conteúdo; trava; e tampa; formato retangular. (Área de impressão: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655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PLACA DE TEXTO</w:t>
            </w:r>
          </w:p>
        </w:tc>
      </w:tr>
      <w:tr w:rsidR="007D3D28" w:rsidRPr="00C007BF" w:rsidTr="005D55F9">
        <w:trPr>
          <w:trHeight w:val="236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Tamanho máximo de texto conforme a seguir: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D3D28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425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1084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320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367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270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Confeccionada em borracha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à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laser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. (Tamanho máximo de texto: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141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REFIL ENTINTADO</w:t>
            </w:r>
          </w:p>
        </w:tc>
      </w:tr>
      <w:tr w:rsidR="007D3D28" w:rsidRPr="00C007BF" w:rsidTr="005D55F9">
        <w:trPr>
          <w:trHeight w:val="128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C007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30 x 30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375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871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18 x 47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332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23 x 59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431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40 x 60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297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Refil almofadado para carimbo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auto-entintável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, marca e modelo compatíveis com os carimbos dos itens 01-05; cor da tinta preta, azul ou vermelha a ser indicada no ato da compra.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26 x 09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03380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145</w:t>
            </w:r>
          </w:p>
        </w:tc>
      </w:tr>
      <w:tr w:rsidR="007D3D28" w:rsidRPr="00C007BF" w:rsidTr="005D55F9">
        <w:trPr>
          <w:trHeight w:val="295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7D3D28" w:rsidRPr="00C007BF" w:rsidRDefault="007D3D28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DE BOLSO</w:t>
            </w:r>
          </w:p>
        </w:tc>
      </w:tr>
      <w:tr w:rsidR="007D3D28" w:rsidRPr="00C007BF" w:rsidTr="005D55F9">
        <w:trPr>
          <w:trHeight w:val="202"/>
          <w:jc w:val="center"/>
        </w:trPr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D3D28" w:rsidRPr="00C007BF" w:rsidRDefault="007D3D28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C007BF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04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Formato retangular, de fácil manuseio. Não 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possui tampa, abertura e fechamento por leve pressão manual; com </w:t>
            </w:r>
            <w:proofErr w:type="spell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clip</w:t>
            </w:r>
            <w:proofErr w:type="spell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para conferir maior segurança quando do transporte no bolso. Cor preferencialmente azul. (Tamanho: </w:t>
            </w: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14 x 38 mm</w:t>
            </w: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und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345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| Data de 3,8mm</w:t>
            </w:r>
          </w:p>
        </w:tc>
      </w:tr>
      <w:tr w:rsidR="00C007BF" w:rsidRPr="00C007BF" w:rsidTr="005D55F9">
        <w:trPr>
          <w:trHeight w:val="258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Automático, de fácil manuseio; sem tampa; formato retangular.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434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79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 w:themeFill="background1" w:themeFillShade="D9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b/>
                <w:sz w:val="22"/>
                <w:szCs w:val="22"/>
              </w:rPr>
              <w:t>CARIMBO DATADOR AUTO-ENTINTÁVEL COM TEXTO</w:t>
            </w:r>
          </w:p>
        </w:tc>
      </w:tr>
      <w:tr w:rsidR="00C007BF" w:rsidRPr="00C007BF" w:rsidTr="005D55F9">
        <w:trPr>
          <w:trHeight w:val="144"/>
          <w:jc w:val="center"/>
        </w:trPr>
        <w:tc>
          <w:tcPr>
            <w:tcW w:w="952" w:type="dxa"/>
            <w:vMerge/>
            <w:tcBorders>
              <w:left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Item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Und</w:t>
            </w:r>
            <w:proofErr w:type="spellEnd"/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Quant.</w:t>
            </w:r>
          </w:p>
        </w:tc>
      </w:tr>
      <w:tr w:rsidR="00C007BF" w:rsidRPr="00C007BF" w:rsidTr="005D55F9">
        <w:trPr>
          <w:trHeight w:val="295"/>
          <w:jc w:val="center"/>
        </w:trPr>
        <w:tc>
          <w:tcPr>
            <w:tcW w:w="952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Automático, de fácil manuseio; sem tampa; formato retangular; área de impressão 26 x </w:t>
            </w:r>
            <w:proofErr w:type="gramStart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  <w:proofErr w:type="gramEnd"/>
            <w:r w:rsidRPr="00C007BF">
              <w:rPr>
                <w:rFonts w:asciiTheme="minorHAnsi" w:hAnsiTheme="minorHAnsi" w:cstheme="minorHAnsi"/>
                <w:sz w:val="22"/>
                <w:szCs w:val="22"/>
              </w:rPr>
              <w:t xml:space="preserve"> mm.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proofErr w:type="spellStart"/>
            <w:proofErr w:type="gramStart"/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und</w:t>
            </w:r>
            <w:proofErr w:type="spellEnd"/>
            <w:proofErr w:type="gramEnd"/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007BF" w:rsidRPr="00C007BF" w:rsidRDefault="00C007BF" w:rsidP="007A1466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C007B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436</w:t>
            </w:r>
          </w:p>
        </w:tc>
      </w:tr>
    </w:tbl>
    <w:p w:rsidR="00916796" w:rsidRPr="00C007BF" w:rsidRDefault="00916796" w:rsidP="009167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:rsidR="00916796" w:rsidRPr="00C007BF" w:rsidRDefault="00916796" w:rsidP="00916796">
      <w:pPr>
        <w:spacing w:before="120"/>
        <w:rPr>
          <w:rFonts w:asciiTheme="minorHAnsi" w:hAnsiTheme="minorHAnsi" w:cs="Arial"/>
          <w:color w:val="000000"/>
          <w:sz w:val="22"/>
          <w:szCs w:val="22"/>
        </w:rPr>
      </w:pPr>
    </w:p>
    <w:p w:rsidR="00C26C41" w:rsidRPr="00C007BF" w:rsidRDefault="005D55F9" w:rsidP="00FA6164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  <w:r>
        <w:rPr>
          <w:rFonts w:asciiTheme="minorHAnsi" w:eastAsia="Calibri" w:hAnsiTheme="minorHAnsi" w:cs="Times"/>
          <w:sz w:val="22"/>
          <w:szCs w:val="22"/>
        </w:rPr>
        <w:t>Maceió/AL, 02</w:t>
      </w:r>
      <w:r w:rsidR="00C26C41" w:rsidRPr="00C007BF">
        <w:rPr>
          <w:rFonts w:asciiTheme="minorHAnsi" w:eastAsia="Calibri" w:hAnsiTheme="minorHAnsi" w:cs="Times"/>
          <w:sz w:val="22"/>
          <w:szCs w:val="22"/>
        </w:rPr>
        <w:t xml:space="preserve"> de </w:t>
      </w:r>
      <w:r>
        <w:rPr>
          <w:rFonts w:asciiTheme="minorHAnsi" w:eastAsia="Calibri" w:hAnsiTheme="minorHAnsi" w:cs="Times"/>
          <w:sz w:val="22"/>
          <w:szCs w:val="22"/>
        </w:rPr>
        <w:t>Mai</w:t>
      </w:r>
      <w:r w:rsidR="00FA6164" w:rsidRPr="00C007BF">
        <w:rPr>
          <w:rFonts w:asciiTheme="minorHAnsi" w:eastAsia="Calibri" w:hAnsiTheme="minorHAnsi" w:cs="Times"/>
          <w:sz w:val="22"/>
          <w:szCs w:val="22"/>
        </w:rPr>
        <w:t>o</w:t>
      </w:r>
      <w:r w:rsidR="00C26C41" w:rsidRPr="00C007BF">
        <w:rPr>
          <w:rFonts w:asciiTheme="minorHAnsi" w:eastAsia="Calibri" w:hAnsiTheme="minorHAnsi" w:cs="Times"/>
          <w:sz w:val="22"/>
          <w:szCs w:val="22"/>
        </w:rPr>
        <w:t xml:space="preserve"> de 201</w:t>
      </w:r>
      <w:r w:rsidR="009C5725" w:rsidRPr="00C007BF">
        <w:rPr>
          <w:rFonts w:asciiTheme="minorHAnsi" w:eastAsia="Calibri" w:hAnsiTheme="minorHAnsi" w:cs="Times"/>
          <w:sz w:val="22"/>
          <w:szCs w:val="22"/>
        </w:rPr>
        <w:t>7</w:t>
      </w:r>
      <w:r w:rsidR="00C26C41" w:rsidRPr="00C007BF">
        <w:rPr>
          <w:rFonts w:asciiTheme="minorHAnsi" w:eastAsia="Calibri" w:hAnsiTheme="minorHAnsi" w:cs="Times"/>
          <w:sz w:val="22"/>
          <w:szCs w:val="22"/>
        </w:rPr>
        <w:t>.</w:t>
      </w:r>
    </w:p>
    <w:p w:rsidR="005F10F8" w:rsidRPr="00C007BF" w:rsidRDefault="005F10F8" w:rsidP="00C26C41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="Times"/>
          <w:sz w:val="22"/>
          <w:szCs w:val="22"/>
        </w:rPr>
      </w:pPr>
    </w:p>
    <w:p w:rsidR="005A0A75" w:rsidRDefault="005A0A75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5D55F9" w:rsidRPr="00C007BF" w:rsidRDefault="005D55F9" w:rsidP="00E17B87">
      <w:pPr>
        <w:rPr>
          <w:rFonts w:asciiTheme="minorHAnsi" w:hAnsiTheme="minorHAnsi"/>
          <w:b/>
          <w:sz w:val="22"/>
          <w:szCs w:val="22"/>
        </w:rPr>
      </w:pPr>
    </w:p>
    <w:p w:rsidR="00033806" w:rsidRPr="00C007BF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  <w:r w:rsidRPr="00C007BF">
        <w:rPr>
          <w:rFonts w:asciiTheme="minorHAnsi" w:hAnsiTheme="minorHAnsi"/>
          <w:b/>
          <w:sz w:val="22"/>
          <w:szCs w:val="22"/>
        </w:rPr>
        <w:t xml:space="preserve">ANEXO </w:t>
      </w:r>
      <w:r w:rsidR="00211C75" w:rsidRPr="00C007BF">
        <w:rPr>
          <w:rFonts w:asciiTheme="minorHAnsi" w:hAnsiTheme="minorHAnsi"/>
          <w:b/>
          <w:sz w:val="22"/>
          <w:szCs w:val="22"/>
        </w:rPr>
        <w:t>II</w:t>
      </w:r>
    </w:p>
    <w:p w:rsidR="00033806" w:rsidRPr="00C007BF" w:rsidRDefault="00033806" w:rsidP="00033806">
      <w:pPr>
        <w:jc w:val="center"/>
        <w:rPr>
          <w:rFonts w:asciiTheme="minorHAnsi" w:hAnsiTheme="minorHAnsi"/>
          <w:b/>
          <w:sz w:val="22"/>
          <w:szCs w:val="22"/>
        </w:rPr>
      </w:pPr>
    </w:p>
    <w:p w:rsidR="00033806" w:rsidRPr="00C007BF" w:rsidRDefault="001554C9" w:rsidP="001554C9">
      <w:pPr>
        <w:tabs>
          <w:tab w:val="left" w:pos="6586"/>
        </w:tabs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ab/>
      </w:r>
    </w:p>
    <w:p w:rsidR="00BA3FF8" w:rsidRPr="00C007BF" w:rsidRDefault="00BA3FF8" w:rsidP="00BA3FF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  <w:r w:rsidRPr="00C007BF">
        <w:rPr>
          <w:rFonts w:asciiTheme="minorHAnsi" w:hAnsiTheme="minorHAnsi"/>
          <w:sz w:val="22"/>
          <w:szCs w:val="22"/>
        </w:rPr>
        <w:t xml:space="preserve">ENDEREÇOS </w:t>
      </w:r>
      <w:r w:rsidR="00211C75" w:rsidRPr="00C007BF">
        <w:rPr>
          <w:rFonts w:asciiTheme="minorHAnsi" w:hAnsiTheme="minorHAnsi"/>
          <w:sz w:val="22"/>
          <w:szCs w:val="22"/>
        </w:rPr>
        <w:t xml:space="preserve">DE ENTREGA </w:t>
      </w:r>
      <w:r w:rsidRPr="00C007BF">
        <w:rPr>
          <w:rFonts w:asciiTheme="minorHAnsi" w:hAnsiTheme="minorHAnsi"/>
          <w:sz w:val="22"/>
          <w:szCs w:val="22"/>
        </w:rPr>
        <w:t xml:space="preserve">DOS ÓRGÃOS </w:t>
      </w:r>
    </w:p>
    <w:p w:rsidR="00BA3FF8" w:rsidRPr="00C007BF" w:rsidRDefault="00BA3FF8" w:rsidP="00BA3FF8">
      <w:pPr>
        <w:pStyle w:val="Corpodetexto"/>
        <w:spacing w:before="60"/>
        <w:jc w:val="center"/>
        <w:rPr>
          <w:rFonts w:asciiTheme="minorHAnsi" w:hAnsi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40"/>
        <w:gridCol w:w="3679"/>
        <w:gridCol w:w="4386"/>
      </w:tblGrid>
      <w:tr w:rsidR="00BA3FF8" w:rsidRPr="00C007BF" w:rsidTr="003F0AA8">
        <w:trPr>
          <w:trHeight w:val="524"/>
        </w:trPr>
        <w:tc>
          <w:tcPr>
            <w:tcW w:w="4111" w:type="dxa"/>
            <w:gridSpan w:val="2"/>
          </w:tcPr>
          <w:p w:rsidR="00BA3FF8" w:rsidRPr="00C007BF" w:rsidRDefault="00BA3FF8" w:rsidP="003F0AA8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A3FF8" w:rsidRPr="00C007BF" w:rsidRDefault="00BA3FF8" w:rsidP="003F0AA8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ENDEREÇO</w:t>
            </w:r>
          </w:p>
        </w:tc>
      </w:tr>
      <w:tr w:rsidR="00BA3FF8" w:rsidRPr="00C007BF" w:rsidTr="003F0AA8">
        <w:trPr>
          <w:trHeight w:val="257"/>
        </w:trPr>
        <w:tc>
          <w:tcPr>
            <w:tcW w:w="425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A3FF8" w:rsidRPr="00C007BF" w:rsidRDefault="00531108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ARSER</w:t>
            </w:r>
          </w:p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4394" w:type="dxa"/>
          </w:tcPr>
          <w:p w:rsidR="00BA3FF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Pedro Monteiro, Centro – Maceió/AL. CEP 57020-380</w:t>
            </w:r>
          </w:p>
        </w:tc>
      </w:tr>
      <w:tr w:rsidR="00BA3FF8" w:rsidRPr="00C007BF" w:rsidTr="003F0AA8">
        <w:trPr>
          <w:trHeight w:val="353"/>
        </w:trPr>
        <w:tc>
          <w:tcPr>
            <w:tcW w:w="4111" w:type="dxa"/>
            <w:gridSpan w:val="2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</w:p>
          <w:p w:rsidR="00BA3FF8" w:rsidRPr="00C007BF" w:rsidRDefault="00BA3FF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</w:p>
          <w:p w:rsidR="00BA3FF8" w:rsidRPr="00C007BF" w:rsidRDefault="00BA3FF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ENDEREÇOS:</w:t>
            </w:r>
          </w:p>
        </w:tc>
      </w:tr>
      <w:tr w:rsidR="00BA3FF8" w:rsidRPr="00C007BF" w:rsidTr="003F0AA8">
        <w:trPr>
          <w:trHeight w:val="353"/>
        </w:trPr>
        <w:tc>
          <w:tcPr>
            <w:tcW w:w="425" w:type="dxa"/>
          </w:tcPr>
          <w:p w:rsidR="00BA3FF8" w:rsidRPr="00C007BF" w:rsidRDefault="00BA3FF8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A3FF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SMCI</w:t>
            </w:r>
          </w:p>
        </w:tc>
        <w:tc>
          <w:tcPr>
            <w:tcW w:w="4394" w:type="dxa"/>
          </w:tcPr>
          <w:p w:rsidR="00BA3FF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Av. Aristeu de Andrade, Nº 406, Farol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3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SEMAS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Oldemburgo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Paranhos, Nº 597, Farol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4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SMS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Dias Cabral, 569, Centro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57020-250 // Fone: (82) 3315-5180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5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SEMEC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Rua Pedro Monteiro, Nº 47, Centro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6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SEMGE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Pedro Monteiro, </w:t>
            </w:r>
            <w:proofErr w:type="gram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5</w:t>
            </w:r>
            <w:proofErr w:type="gram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Centro.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57020-150 // Fone: (82) 3315-7115 / 7104 / 7113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7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GP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Desembargador Almeida Guimarães, Nº 87,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Pajuçara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Maceió/AL.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8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SEMED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General Hermes, Nº 1199,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Cambona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– Maceió/AL. CEP 57017-000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proofErr w:type="gramStart"/>
            <w:r w:rsidRPr="00C007BF">
              <w:rPr>
                <w:rFonts w:asciiTheme="minorHAnsi" w:hAnsiTheme="minorHAnsi"/>
                <w:sz w:val="22"/>
                <w:szCs w:val="22"/>
              </w:rPr>
              <w:t>9</w:t>
            </w:r>
            <w:proofErr w:type="gramEnd"/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SEMDS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57018-655 // Fones: (82) 3315-4735 /4736 Parque Municipal: 3358-6232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10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GVP</w:t>
            </w:r>
          </w:p>
        </w:tc>
        <w:tc>
          <w:tcPr>
            <w:tcW w:w="4394" w:type="dxa"/>
          </w:tcPr>
          <w:p w:rsidR="00531108" w:rsidRPr="00C007BF" w:rsidRDefault="00531108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Rua Jornalista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Lafiete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Nº 47, Poço – Maceió/AL. CEP 57025690</w:t>
            </w:r>
          </w:p>
        </w:tc>
      </w:tr>
      <w:tr w:rsidR="00531108" w:rsidRPr="00C007BF" w:rsidTr="003F0AA8">
        <w:trPr>
          <w:trHeight w:val="353"/>
        </w:trPr>
        <w:tc>
          <w:tcPr>
            <w:tcW w:w="425" w:type="dxa"/>
          </w:tcPr>
          <w:p w:rsidR="00531108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11</w:t>
            </w:r>
          </w:p>
        </w:tc>
        <w:tc>
          <w:tcPr>
            <w:tcW w:w="3686" w:type="dxa"/>
          </w:tcPr>
          <w:p w:rsidR="00531108" w:rsidRPr="00C007BF" w:rsidRDefault="00531108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PGM</w:t>
            </w:r>
          </w:p>
        </w:tc>
        <w:tc>
          <w:tcPr>
            <w:tcW w:w="4394" w:type="dxa"/>
          </w:tcPr>
          <w:p w:rsidR="00531108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Dr. Pedro Monteiro, 291, Centro.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57020-380 | Telefones: 3327-4902 / 3327-7409 / 3327-1588 / 3327-1447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12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SEMSC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Av.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Theobaldo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 xml:space="preserve"> Barbosa, S/N, Conjunto Joaquim Leão, Vergel do Lago – Maceió/AL. CEP 57015000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13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SEMELJ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Sede administrativa: Rua São Francisco de Assis, 305,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Jatiúca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// 3315 2751 | Vila Olímpica: Av. Alice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Karoline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43, Cidade Universitária // 3354-1265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14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SMTT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Avenida Durval de Góes Monteiro, 829, KM 10, Tabuleiro do Martins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57061-000 // Fone: (82) 3315-3571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lastRenderedPageBreak/>
              <w:t>15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SEMTABES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Rua Barão de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Anadia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85, Centro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57020-630 // Fone: (82) 3315-6260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16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IPREV</w:t>
            </w:r>
          </w:p>
        </w:tc>
        <w:tc>
          <w:tcPr>
            <w:tcW w:w="4394" w:type="dxa"/>
          </w:tcPr>
          <w:p w:rsidR="007659DD" w:rsidRPr="00C007BF" w:rsidRDefault="007659DD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Comendador Palmeira, 502, Farol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57051-150 // Fone: (82) 3315-3276 / (82) 3315-4122</w:t>
            </w:r>
          </w:p>
        </w:tc>
      </w:tr>
      <w:tr w:rsidR="007659DD" w:rsidRPr="00C007BF" w:rsidTr="003F0AA8">
        <w:trPr>
          <w:trHeight w:val="353"/>
        </w:trPr>
        <w:tc>
          <w:tcPr>
            <w:tcW w:w="425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17</w:t>
            </w:r>
          </w:p>
        </w:tc>
        <w:tc>
          <w:tcPr>
            <w:tcW w:w="3686" w:type="dxa"/>
          </w:tcPr>
          <w:p w:rsidR="007659DD" w:rsidRPr="00C007BF" w:rsidRDefault="007659DD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SLUM</w:t>
            </w:r>
          </w:p>
        </w:tc>
        <w:tc>
          <w:tcPr>
            <w:tcW w:w="4394" w:type="dxa"/>
          </w:tcPr>
          <w:p w:rsidR="007659DD" w:rsidRPr="00C007BF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Praça Ciro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Acioly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, 96, Ponta Grossa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CEP 57014-710 // Fone: (82) 3315-2600 // Disque Limpeza 0800 082 2600</w:t>
            </w:r>
          </w:p>
        </w:tc>
      </w:tr>
      <w:tr w:rsidR="00FA6164" w:rsidRPr="00C007BF" w:rsidTr="003F0AA8">
        <w:trPr>
          <w:trHeight w:val="353"/>
        </w:trPr>
        <w:tc>
          <w:tcPr>
            <w:tcW w:w="425" w:type="dxa"/>
          </w:tcPr>
          <w:p w:rsidR="00FA6164" w:rsidRPr="00C007BF" w:rsidRDefault="00FA6164" w:rsidP="003F0AA8">
            <w:pPr>
              <w:jc w:val="both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18</w:t>
            </w:r>
          </w:p>
        </w:tc>
        <w:tc>
          <w:tcPr>
            <w:tcW w:w="3686" w:type="dxa"/>
          </w:tcPr>
          <w:p w:rsidR="00FA6164" w:rsidRPr="00C007BF" w:rsidRDefault="00FA6164" w:rsidP="00FA6164">
            <w:pPr>
              <w:jc w:val="center"/>
              <w:rPr>
                <w:rFonts w:asciiTheme="minorHAnsi" w:hAnsiTheme="minorHAnsi"/>
              </w:rPr>
            </w:pPr>
            <w:r w:rsidRPr="00C007BF">
              <w:rPr>
                <w:rFonts w:asciiTheme="minorHAnsi" w:hAnsiTheme="minorHAnsi"/>
                <w:sz w:val="22"/>
                <w:szCs w:val="22"/>
              </w:rPr>
              <w:t>SIMA</w:t>
            </w:r>
          </w:p>
        </w:tc>
        <w:tc>
          <w:tcPr>
            <w:tcW w:w="4394" w:type="dxa"/>
          </w:tcPr>
          <w:p w:rsidR="00FA6164" w:rsidRPr="00C007BF" w:rsidRDefault="00FA6164" w:rsidP="003F0AA8">
            <w:pPr>
              <w:jc w:val="both"/>
              <w:rPr>
                <w:rFonts w:asciiTheme="minorHAnsi" w:hAnsiTheme="minorHAnsi" w:cstheme="minorHAnsi"/>
                <w:color w:val="000000" w:themeColor="text1"/>
                <w:shd w:val="clear" w:color="auto" w:fill="FFFFFF"/>
              </w:rPr>
            </w:pP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Rua Marquês de Abrantes, s/n, Bebedouro</w:t>
            </w:r>
            <w:r w:rsidRPr="00C007BF">
              <w:rPr>
                <w:rStyle w:val="apple-converted-space"/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 </w:t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br/>
            </w:r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CEP 57018-330 // Fones: (82) 3315-3821 / 6410 / 3828 </w:t>
            </w:r>
            <w:proofErr w:type="spellStart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>Call</w:t>
            </w:r>
            <w:proofErr w:type="spellEnd"/>
            <w:r w:rsidRPr="00C007BF">
              <w:rPr>
                <w:rFonts w:asciiTheme="minorHAnsi" w:hAnsiTheme="minorHAnsi" w:cstheme="minorHAnsi"/>
                <w:color w:val="000000" w:themeColor="text1"/>
                <w:sz w:val="22"/>
                <w:szCs w:val="22"/>
                <w:shd w:val="clear" w:color="auto" w:fill="FFFFFF"/>
              </w:rPr>
              <w:t xml:space="preserve"> Center: 0800 031 9055</w:t>
            </w:r>
          </w:p>
        </w:tc>
      </w:tr>
    </w:tbl>
    <w:p w:rsidR="00033806" w:rsidRPr="00C007BF" w:rsidRDefault="00033806" w:rsidP="00AB2C66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007BF" w:rsidSect="00DE4583">
      <w:headerReference w:type="default" r:id="rId8"/>
      <w:footerReference w:type="default" r:id="rId9"/>
      <w:pgSz w:w="11906" w:h="16838"/>
      <w:pgMar w:top="1075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5F9" w:rsidRDefault="005D55F9" w:rsidP="00380E9E">
      <w:r>
        <w:separator/>
      </w:r>
    </w:p>
  </w:endnote>
  <w:endnote w:type="continuationSeparator" w:id="1">
    <w:p w:rsidR="005D55F9" w:rsidRDefault="005D55F9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733589"/>
      <w:docPartObj>
        <w:docPartGallery w:val="Page Numbers (Bottom of Page)"/>
        <w:docPartUnique/>
      </w:docPartObj>
    </w:sdtPr>
    <w:sdtContent>
      <w:p w:rsidR="005D55F9" w:rsidRDefault="005D55F9">
        <w:pPr>
          <w:pStyle w:val="Rodap"/>
          <w:jc w:val="right"/>
        </w:pPr>
        <w:fldSimple w:instr=" PAGE   \* MERGEFORMAT ">
          <w:r>
            <w:rPr>
              <w:noProof/>
            </w:rPr>
            <w:t>14</w:t>
          </w:r>
        </w:fldSimple>
      </w:p>
    </w:sdtContent>
  </w:sdt>
  <w:p w:rsidR="005D55F9" w:rsidRPr="00380E9E" w:rsidRDefault="005D55F9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5F9" w:rsidRDefault="005D55F9" w:rsidP="00380E9E">
      <w:r>
        <w:separator/>
      </w:r>
    </w:p>
  </w:footnote>
  <w:footnote w:type="continuationSeparator" w:id="1">
    <w:p w:rsidR="005D55F9" w:rsidRDefault="005D55F9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5F9" w:rsidRDefault="005D55F9">
    <w:pPr>
      <w:pStyle w:val="Cabealho"/>
    </w:pPr>
  </w:p>
  <w:p w:rsidR="005D55F9" w:rsidRDefault="005D55F9">
    <w:pPr>
      <w:pStyle w:val="Cabealho"/>
    </w:pPr>
  </w:p>
  <w:p w:rsidR="005D55F9" w:rsidRDefault="005D55F9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D55F9" w:rsidRPr="006F4D79" w:rsidRDefault="005D55F9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5D55F9" w:rsidRDefault="005D55F9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5D55F9" w:rsidRDefault="005D55F9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72871"/>
    <w:multiLevelType w:val="multilevel"/>
    <w:tmpl w:val="7B8AEF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  <w:b w:val="0"/>
      </w:rPr>
    </w:lvl>
    <w:lvl w:ilvl="2">
      <w:start w:val="1"/>
      <w:numFmt w:val="lowerLetter"/>
      <w:lvlText w:val="%3)"/>
      <w:lvlJc w:val="left"/>
      <w:pPr>
        <w:ind w:left="930" w:hanging="504"/>
      </w:pPr>
      <w:rPr>
        <w:rFonts w:ascii="Calibri" w:eastAsia="Times New Roman" w:hAnsi="Calibri" w:cs="Arial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1EE256F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E3A96"/>
    <w:multiLevelType w:val="hybridMultilevel"/>
    <w:tmpl w:val="C660C9AC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7">
      <w:start w:val="1"/>
      <w:numFmt w:val="lowerLetter"/>
      <w:lvlText w:val="%2)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04420376"/>
    <w:multiLevelType w:val="hybridMultilevel"/>
    <w:tmpl w:val="C63A3E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9727E14"/>
    <w:multiLevelType w:val="multilevel"/>
    <w:tmpl w:val="653E81AC"/>
    <w:lvl w:ilvl="0">
      <w:start w:val="6"/>
      <w:numFmt w:val="decimal"/>
      <w:lvlText w:val="%1."/>
      <w:lvlJc w:val="left"/>
      <w:pPr>
        <w:ind w:left="540" w:hanging="540"/>
      </w:pPr>
      <w:rPr>
        <w:rFonts w:hint="default"/>
        <w:b w:val="0"/>
        <w:sz w:val="24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  <w:sz w:val="24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  <w:sz w:val="24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  <w:sz w:val="24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  <w:sz w:val="24"/>
      </w:rPr>
    </w:lvl>
  </w:abstractNum>
  <w:abstractNum w:abstractNumId="5">
    <w:nsid w:val="0DC311B0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EC0063F"/>
    <w:multiLevelType w:val="multilevel"/>
    <w:tmpl w:val="9B98C1A2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7379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0F974662"/>
    <w:multiLevelType w:val="hybridMultilevel"/>
    <w:tmpl w:val="5A9460D2"/>
    <w:lvl w:ilvl="0" w:tplc="04160013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48C67A5"/>
    <w:multiLevelType w:val="hybridMultilevel"/>
    <w:tmpl w:val="D9BA6CE0"/>
    <w:lvl w:ilvl="0" w:tplc="04160013">
      <w:start w:val="1"/>
      <w:numFmt w:val="upperRoman"/>
      <w:lvlText w:val="%1."/>
      <w:lvlJc w:val="right"/>
      <w:pPr>
        <w:ind w:left="2076" w:hanging="360"/>
      </w:pPr>
    </w:lvl>
    <w:lvl w:ilvl="1" w:tplc="04160019">
      <w:start w:val="1"/>
      <w:numFmt w:val="lowerLetter"/>
      <w:lvlText w:val="%2."/>
      <w:lvlJc w:val="left"/>
      <w:pPr>
        <w:ind w:left="2736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5A50E55"/>
    <w:multiLevelType w:val="hybridMultilevel"/>
    <w:tmpl w:val="4BE609C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B00B01"/>
    <w:multiLevelType w:val="multilevel"/>
    <w:tmpl w:val="B066EBFC"/>
    <w:lvl w:ilvl="0">
      <w:start w:val="16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0EE0BC8"/>
    <w:multiLevelType w:val="hybridMultilevel"/>
    <w:tmpl w:val="65E20560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A5F2855"/>
    <w:multiLevelType w:val="hybridMultilevel"/>
    <w:tmpl w:val="23609D86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9D04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ECA10E8"/>
    <w:multiLevelType w:val="multilevel"/>
    <w:tmpl w:val="CD82952E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7">
    <w:nsid w:val="4031472A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2A04D6"/>
    <w:multiLevelType w:val="multilevel"/>
    <w:tmpl w:val="454CED06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>
    <w:nsid w:val="46EB6C7E"/>
    <w:multiLevelType w:val="multilevel"/>
    <w:tmpl w:val="520C2AC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lang w:val="pt-BR"/>
      </w:rPr>
    </w:lvl>
    <w:lvl w:ilvl="2">
      <w:start w:val="1"/>
      <w:numFmt w:val="lowerLetter"/>
      <w:lvlText w:val="%3)"/>
      <w:lvlJc w:val="left"/>
      <w:pPr>
        <w:ind w:left="135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FE311B"/>
    <w:multiLevelType w:val="multilevel"/>
    <w:tmpl w:val="428EC02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>
    <w:nsid w:val="5A663F63"/>
    <w:multiLevelType w:val="multilevel"/>
    <w:tmpl w:val="1402CFAC"/>
    <w:lvl w:ilvl="0">
      <w:start w:val="7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>
    <w:nsid w:val="5ACB5939"/>
    <w:multiLevelType w:val="multilevel"/>
    <w:tmpl w:val="514C31C0"/>
    <w:lvl w:ilvl="0">
      <w:start w:val="15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4C4D1C"/>
    <w:multiLevelType w:val="multilevel"/>
    <w:tmpl w:val="CD9C646A"/>
    <w:lvl w:ilvl="0">
      <w:start w:val="18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>
    <w:nsid w:val="6E131670"/>
    <w:multiLevelType w:val="hybridMultilevel"/>
    <w:tmpl w:val="DABACA8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13D3E"/>
    <w:multiLevelType w:val="hybridMultilevel"/>
    <w:tmpl w:val="4F409B7A"/>
    <w:lvl w:ilvl="0" w:tplc="04160017">
      <w:start w:val="1"/>
      <w:numFmt w:val="lowerLetter"/>
      <w:lvlText w:val="%1)"/>
      <w:lvlJc w:val="left"/>
      <w:pPr>
        <w:ind w:left="1119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32">
    <w:nsid w:val="773F6B71"/>
    <w:multiLevelType w:val="multilevel"/>
    <w:tmpl w:val="E54AC870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>
    <w:nsid w:val="79C66CAB"/>
    <w:multiLevelType w:val="hybridMultilevel"/>
    <w:tmpl w:val="61CAE560"/>
    <w:lvl w:ilvl="0" w:tplc="F90CED3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B6A70CA"/>
    <w:multiLevelType w:val="hybridMultilevel"/>
    <w:tmpl w:val="1F36ABD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11"/>
  </w:num>
  <w:num w:numId="3">
    <w:abstractNumId w:val="13"/>
  </w:num>
  <w:num w:numId="4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1"/>
  </w:num>
  <w:num w:numId="6">
    <w:abstractNumId w:val="3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16"/>
  </w:num>
  <w:num w:numId="9">
    <w:abstractNumId w:val="8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0"/>
  </w:num>
  <w:num w:numId="12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5"/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4"/>
  </w:num>
  <w:num w:numId="1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2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7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5"/>
  </w:num>
  <w:num w:numId="24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0"/>
  </w:num>
  <w:num w:numId="26">
    <w:abstractNumId w:val="3"/>
  </w:num>
  <w:num w:numId="27">
    <w:abstractNumId w:val="29"/>
  </w:num>
  <w:num w:numId="28">
    <w:abstractNumId w:val="33"/>
  </w:num>
  <w:num w:numId="29">
    <w:abstractNumId w:val="2"/>
  </w:num>
  <w:num w:numId="30">
    <w:abstractNumId w:val="14"/>
  </w:num>
  <w:num w:numId="31">
    <w:abstractNumId w:val="1"/>
  </w:num>
  <w:num w:numId="32">
    <w:abstractNumId w:val="4"/>
  </w:num>
  <w:num w:numId="33">
    <w:abstractNumId w:val="22"/>
  </w:num>
  <w:num w:numId="34">
    <w:abstractNumId w:val="27"/>
  </w:num>
  <w:num w:numId="35">
    <w:abstractNumId w:val="18"/>
  </w:num>
  <w:num w:numId="36">
    <w:abstractNumId w:val="19"/>
  </w:num>
  <w:num w:numId="37">
    <w:abstractNumId w:val="9"/>
  </w:num>
  <w:num w:numId="38">
    <w:abstractNumId w:val="21"/>
  </w:num>
  <w:num w:numId="39">
    <w:abstractNumId w:val="32"/>
  </w:num>
  <w:num w:numId="40">
    <w:abstractNumId w:val="17"/>
  </w:num>
  <w:num w:numId="41">
    <w:abstractNumId w:val="20"/>
  </w:num>
  <w:num w:numId="42">
    <w:abstractNumId w:val="26"/>
  </w:num>
  <w:num w:numId="43">
    <w:abstractNumId w:val="24"/>
  </w:num>
  <w:num w:numId="44">
    <w:abstractNumId w:val="10"/>
  </w:num>
  <w:num w:numId="45">
    <w:abstractNumId w:val="28"/>
  </w:num>
  <w:num w:numId="46">
    <w:abstractNumId w:val="23"/>
  </w:num>
  <w:num w:numId="4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hyphenationZone w:val="425"/>
  <w:characterSpacingControl w:val="doNotCompress"/>
  <w:hdrShapeDefaults>
    <o:shapedefaults v:ext="edit" spidmax="137217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20663"/>
    <w:rsid w:val="0002295C"/>
    <w:rsid w:val="00033806"/>
    <w:rsid w:val="00040506"/>
    <w:rsid w:val="0005629A"/>
    <w:rsid w:val="00071EB0"/>
    <w:rsid w:val="000961D7"/>
    <w:rsid w:val="000A0A12"/>
    <w:rsid w:val="000A22AF"/>
    <w:rsid w:val="000A28F2"/>
    <w:rsid w:val="000D5A04"/>
    <w:rsid w:val="000E6E11"/>
    <w:rsid w:val="000F7D31"/>
    <w:rsid w:val="001111BA"/>
    <w:rsid w:val="001116E5"/>
    <w:rsid w:val="00133796"/>
    <w:rsid w:val="00134B23"/>
    <w:rsid w:val="001404C5"/>
    <w:rsid w:val="001446B6"/>
    <w:rsid w:val="00152A71"/>
    <w:rsid w:val="001554C9"/>
    <w:rsid w:val="001817FE"/>
    <w:rsid w:val="00183609"/>
    <w:rsid w:val="001969BD"/>
    <w:rsid w:val="001A1EC1"/>
    <w:rsid w:val="001A767A"/>
    <w:rsid w:val="001A7EEA"/>
    <w:rsid w:val="001B67BE"/>
    <w:rsid w:val="001C173F"/>
    <w:rsid w:val="001C3B7A"/>
    <w:rsid w:val="001D3B68"/>
    <w:rsid w:val="001E42C4"/>
    <w:rsid w:val="001E524A"/>
    <w:rsid w:val="001E590A"/>
    <w:rsid w:val="001E6A13"/>
    <w:rsid w:val="001F7172"/>
    <w:rsid w:val="00211C75"/>
    <w:rsid w:val="0023469E"/>
    <w:rsid w:val="00236394"/>
    <w:rsid w:val="00243EBE"/>
    <w:rsid w:val="00244606"/>
    <w:rsid w:val="002531CA"/>
    <w:rsid w:val="002576B4"/>
    <w:rsid w:val="00261C1B"/>
    <w:rsid w:val="00270A60"/>
    <w:rsid w:val="00270DAF"/>
    <w:rsid w:val="00283E55"/>
    <w:rsid w:val="0029715A"/>
    <w:rsid w:val="002F5468"/>
    <w:rsid w:val="002F5A2D"/>
    <w:rsid w:val="00314BED"/>
    <w:rsid w:val="0035017E"/>
    <w:rsid w:val="003516E6"/>
    <w:rsid w:val="00380E9E"/>
    <w:rsid w:val="003843FA"/>
    <w:rsid w:val="003849F5"/>
    <w:rsid w:val="00385A25"/>
    <w:rsid w:val="0039370B"/>
    <w:rsid w:val="003B1C34"/>
    <w:rsid w:val="003C2DF3"/>
    <w:rsid w:val="003D619A"/>
    <w:rsid w:val="003E06B2"/>
    <w:rsid w:val="003E1C7B"/>
    <w:rsid w:val="003F0AA8"/>
    <w:rsid w:val="00403868"/>
    <w:rsid w:val="00405C04"/>
    <w:rsid w:val="0040603D"/>
    <w:rsid w:val="00421E70"/>
    <w:rsid w:val="0042310B"/>
    <w:rsid w:val="00445243"/>
    <w:rsid w:val="004678AC"/>
    <w:rsid w:val="00477F74"/>
    <w:rsid w:val="00494903"/>
    <w:rsid w:val="004A3495"/>
    <w:rsid w:val="004A78E6"/>
    <w:rsid w:val="004B713B"/>
    <w:rsid w:val="004D0E5A"/>
    <w:rsid w:val="004E0BD2"/>
    <w:rsid w:val="004E2F3B"/>
    <w:rsid w:val="004E372D"/>
    <w:rsid w:val="00520F47"/>
    <w:rsid w:val="00527363"/>
    <w:rsid w:val="00531108"/>
    <w:rsid w:val="005448E9"/>
    <w:rsid w:val="00552BE9"/>
    <w:rsid w:val="0055421E"/>
    <w:rsid w:val="005569BF"/>
    <w:rsid w:val="00556C06"/>
    <w:rsid w:val="0056084C"/>
    <w:rsid w:val="005736E0"/>
    <w:rsid w:val="00584D36"/>
    <w:rsid w:val="00590240"/>
    <w:rsid w:val="005A0A75"/>
    <w:rsid w:val="005A6A23"/>
    <w:rsid w:val="005B1C74"/>
    <w:rsid w:val="005C20E6"/>
    <w:rsid w:val="005D1071"/>
    <w:rsid w:val="005D55F9"/>
    <w:rsid w:val="005F10F8"/>
    <w:rsid w:val="00602E21"/>
    <w:rsid w:val="00615520"/>
    <w:rsid w:val="00624CA4"/>
    <w:rsid w:val="00631B3B"/>
    <w:rsid w:val="0065650A"/>
    <w:rsid w:val="00660C85"/>
    <w:rsid w:val="00675EFC"/>
    <w:rsid w:val="00685DB8"/>
    <w:rsid w:val="006868B6"/>
    <w:rsid w:val="006A2897"/>
    <w:rsid w:val="006A34E9"/>
    <w:rsid w:val="006B4183"/>
    <w:rsid w:val="006C342F"/>
    <w:rsid w:val="006D7D69"/>
    <w:rsid w:val="006E4BE8"/>
    <w:rsid w:val="006E6ECF"/>
    <w:rsid w:val="006F1391"/>
    <w:rsid w:val="006F4627"/>
    <w:rsid w:val="006F55E1"/>
    <w:rsid w:val="00703B24"/>
    <w:rsid w:val="00716CA3"/>
    <w:rsid w:val="00746689"/>
    <w:rsid w:val="00756260"/>
    <w:rsid w:val="007659DD"/>
    <w:rsid w:val="00792BF9"/>
    <w:rsid w:val="007A1466"/>
    <w:rsid w:val="007B6D58"/>
    <w:rsid w:val="007D1921"/>
    <w:rsid w:val="007D3D28"/>
    <w:rsid w:val="007E4906"/>
    <w:rsid w:val="007F7F1A"/>
    <w:rsid w:val="00802BBD"/>
    <w:rsid w:val="00803B89"/>
    <w:rsid w:val="00825C3C"/>
    <w:rsid w:val="00850874"/>
    <w:rsid w:val="00853565"/>
    <w:rsid w:val="00854474"/>
    <w:rsid w:val="00887169"/>
    <w:rsid w:val="008902E9"/>
    <w:rsid w:val="008A2484"/>
    <w:rsid w:val="008A45F9"/>
    <w:rsid w:val="008A6253"/>
    <w:rsid w:val="008C2D6E"/>
    <w:rsid w:val="008E3F81"/>
    <w:rsid w:val="008F2125"/>
    <w:rsid w:val="008F3F2F"/>
    <w:rsid w:val="00916796"/>
    <w:rsid w:val="009172D1"/>
    <w:rsid w:val="00925651"/>
    <w:rsid w:val="00925975"/>
    <w:rsid w:val="00925A2D"/>
    <w:rsid w:val="009668FC"/>
    <w:rsid w:val="009A1636"/>
    <w:rsid w:val="009B5B1B"/>
    <w:rsid w:val="009B73AC"/>
    <w:rsid w:val="009C3133"/>
    <w:rsid w:val="009C5725"/>
    <w:rsid w:val="009F0B29"/>
    <w:rsid w:val="00A22C8F"/>
    <w:rsid w:val="00A2673A"/>
    <w:rsid w:val="00A32EA9"/>
    <w:rsid w:val="00A417D9"/>
    <w:rsid w:val="00A42A79"/>
    <w:rsid w:val="00A53A2E"/>
    <w:rsid w:val="00A56293"/>
    <w:rsid w:val="00A73385"/>
    <w:rsid w:val="00A75851"/>
    <w:rsid w:val="00AB124F"/>
    <w:rsid w:val="00AB2C66"/>
    <w:rsid w:val="00AE1041"/>
    <w:rsid w:val="00AE1C16"/>
    <w:rsid w:val="00B06563"/>
    <w:rsid w:val="00B11F61"/>
    <w:rsid w:val="00B160EC"/>
    <w:rsid w:val="00B20BFA"/>
    <w:rsid w:val="00B23570"/>
    <w:rsid w:val="00B471F8"/>
    <w:rsid w:val="00B63A5E"/>
    <w:rsid w:val="00B67A9D"/>
    <w:rsid w:val="00B72A0A"/>
    <w:rsid w:val="00B82CE3"/>
    <w:rsid w:val="00BA3FF8"/>
    <w:rsid w:val="00BD2A9F"/>
    <w:rsid w:val="00BE7220"/>
    <w:rsid w:val="00BF03CF"/>
    <w:rsid w:val="00BF2564"/>
    <w:rsid w:val="00C007BF"/>
    <w:rsid w:val="00C10065"/>
    <w:rsid w:val="00C26C41"/>
    <w:rsid w:val="00C302D0"/>
    <w:rsid w:val="00C30D1E"/>
    <w:rsid w:val="00C34860"/>
    <w:rsid w:val="00C370E3"/>
    <w:rsid w:val="00C41E55"/>
    <w:rsid w:val="00C54ADB"/>
    <w:rsid w:val="00C877CD"/>
    <w:rsid w:val="00CA7E3D"/>
    <w:rsid w:val="00CC7021"/>
    <w:rsid w:val="00CD03DA"/>
    <w:rsid w:val="00CF3C23"/>
    <w:rsid w:val="00D009CE"/>
    <w:rsid w:val="00D06ACF"/>
    <w:rsid w:val="00D122DC"/>
    <w:rsid w:val="00D31A2E"/>
    <w:rsid w:val="00D34F22"/>
    <w:rsid w:val="00D44144"/>
    <w:rsid w:val="00D6180D"/>
    <w:rsid w:val="00D751F6"/>
    <w:rsid w:val="00D874F1"/>
    <w:rsid w:val="00D913C5"/>
    <w:rsid w:val="00D91BBD"/>
    <w:rsid w:val="00D971BB"/>
    <w:rsid w:val="00DA21E7"/>
    <w:rsid w:val="00DB2169"/>
    <w:rsid w:val="00DE4583"/>
    <w:rsid w:val="00DF57FF"/>
    <w:rsid w:val="00E17B87"/>
    <w:rsid w:val="00E26B09"/>
    <w:rsid w:val="00E621F9"/>
    <w:rsid w:val="00E63535"/>
    <w:rsid w:val="00E7513A"/>
    <w:rsid w:val="00E760AB"/>
    <w:rsid w:val="00EA2BAE"/>
    <w:rsid w:val="00F15F43"/>
    <w:rsid w:val="00F21F62"/>
    <w:rsid w:val="00F42030"/>
    <w:rsid w:val="00F43FA1"/>
    <w:rsid w:val="00F47ED7"/>
    <w:rsid w:val="00F52865"/>
    <w:rsid w:val="00F601B5"/>
    <w:rsid w:val="00F61DB6"/>
    <w:rsid w:val="00F63539"/>
    <w:rsid w:val="00F92EE9"/>
    <w:rsid w:val="00F95AE4"/>
    <w:rsid w:val="00FA6164"/>
    <w:rsid w:val="00FB6D5E"/>
    <w:rsid w:val="00FC7432"/>
    <w:rsid w:val="00FD5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7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semiHidden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epargpadro"/>
    <w:rsid w:val="007659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12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6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175424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52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461988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463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384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680333">
          <w:marLeft w:val="0"/>
          <w:marRight w:val="0"/>
          <w:marTop w:val="0"/>
          <w:marBottom w:val="501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5744">
                  <w:marLeft w:val="31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44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D994AF-433E-4412-BD09-41ECBC3D6D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14</Pages>
  <Words>4617</Words>
  <Characters>24937</Characters>
  <Application>Microsoft Office Word</Application>
  <DocSecurity>0</DocSecurity>
  <Lines>207</Lines>
  <Paragraphs>58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7</cp:revision>
  <cp:lastPrinted>2017-05-02T12:43:00Z</cp:lastPrinted>
  <dcterms:created xsi:type="dcterms:W3CDTF">2017-04-28T12:43:00Z</dcterms:created>
  <dcterms:modified xsi:type="dcterms:W3CDTF">2017-05-02T12:59:00Z</dcterms:modified>
</cp:coreProperties>
</file>