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DF" w:rsidRDefault="00A738DF" w:rsidP="00460ECF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DF6EB6" w:rsidRDefault="00DF6EB6" w:rsidP="00DF6E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EXTRATO DE VOTAÇÃO</w:t>
      </w:r>
    </w:p>
    <w:p w:rsidR="007F66A7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7F66A7" w:rsidRPr="00460ECF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Processo Administrativo Nº </w:t>
      </w:r>
      <w:r w:rsidR="0062352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2</w:t>
      </w:r>
      <w:r w:rsidR="003D628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100.</w:t>
      </w:r>
      <w:r w:rsidR="0062352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077200</w:t>
      </w:r>
      <w:r w:rsidR="003D628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/2018</w:t>
      </w:r>
    </w:p>
    <w:p w:rsidR="007F66A7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Assunto: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 w:rsidR="00623522">
        <w:rPr>
          <w:rFonts w:ascii="Times New Roman" w:eastAsia="Calibri" w:hAnsi="Times New Roman" w:cs="Times New Roman"/>
          <w:color w:val="00000A"/>
          <w:sz w:val="24"/>
          <w:szCs w:val="24"/>
        </w:rPr>
        <w:t>Aquisição de material de pintura</w:t>
      </w:r>
    </w:p>
    <w:p w:rsidR="00DF6EB6" w:rsidRDefault="007F66A7" w:rsidP="00557055">
      <w:pPr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Interessado: </w:t>
      </w:r>
      <w:r w:rsidR="00623522">
        <w:rPr>
          <w:rFonts w:ascii="Times New Roman" w:eastAsia="Calibri" w:hAnsi="Times New Roman" w:cs="Times New Roman"/>
          <w:color w:val="00000A"/>
          <w:sz w:val="24"/>
          <w:szCs w:val="24"/>
        </w:rPr>
        <w:t>Diretoria de Administração Orçamento e Finanças da SEMGE</w:t>
      </w:r>
    </w:p>
    <w:p w:rsidR="00891E9E" w:rsidRDefault="00891E9E" w:rsidP="00557055">
      <w:pPr>
        <w:spacing w:after="0" w:line="360" w:lineRule="auto"/>
        <w:rPr>
          <w:sz w:val="28"/>
          <w:szCs w:val="28"/>
        </w:rPr>
      </w:pPr>
    </w:p>
    <w:p w:rsidR="00DF6EB6" w:rsidRPr="00891E9E" w:rsidRDefault="00DF6EB6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Vistos, relatados e discutidos estes autos. </w:t>
      </w:r>
      <w:r w:rsidR="0007711A">
        <w:rPr>
          <w:rFonts w:ascii="Times New Roman" w:eastAsia="Calibri" w:hAnsi="Times New Roman" w:cs="Times New Roman"/>
          <w:color w:val="00000A"/>
          <w:sz w:val="24"/>
          <w:szCs w:val="24"/>
        </w:rPr>
        <w:t>DECIDEM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os </w:t>
      </w:r>
      <w:r w:rsidR="0007711A">
        <w:rPr>
          <w:rFonts w:ascii="Times New Roman" w:eastAsia="Calibri" w:hAnsi="Times New Roman" w:cs="Times New Roman"/>
          <w:color w:val="00000A"/>
          <w:sz w:val="24"/>
          <w:szCs w:val="24"/>
        </w:rPr>
        <w:t>membros da Comissão Permanente de Aplicação de Sanções Administrativas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2B5A7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em concordar 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 relatório do membro </w:t>
      </w:r>
      <w:r w:rsidR="00393705">
        <w:rPr>
          <w:rFonts w:ascii="Times New Roman" w:eastAsia="Calibri" w:hAnsi="Times New Roman" w:cs="Times New Roman"/>
          <w:color w:val="00000A"/>
          <w:sz w:val="24"/>
          <w:szCs w:val="24"/>
        </w:rPr>
        <w:t>Ruth Graziela Brandão Dantas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>,</w:t>
      </w:r>
      <w:r w:rsidR="00891E9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no sentido de aplicação </w:t>
      </w:r>
      <w:r w:rsidR="00891E9E" w:rsidRPr="00891E9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 </w:t>
      </w:r>
      <w:r w:rsidR="00623522" w:rsidRPr="00623522">
        <w:rPr>
          <w:rFonts w:ascii="Times New Roman" w:eastAsia="Calibri" w:hAnsi="Times New Roman" w:cs="Times New Roman"/>
          <w:color w:val="00000A"/>
          <w:sz w:val="24"/>
          <w:szCs w:val="24"/>
        </w:rPr>
        <w:t>pe</w:t>
      </w:r>
      <w:r w:rsidR="00623522">
        <w:rPr>
          <w:rFonts w:ascii="Times New Roman" w:eastAsia="Calibri" w:hAnsi="Times New Roman" w:cs="Times New Roman"/>
          <w:color w:val="00000A"/>
          <w:sz w:val="24"/>
          <w:szCs w:val="24"/>
        </w:rPr>
        <w:t>na</w:t>
      </w:r>
      <w:r w:rsidR="00D5111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em desfavor da empresa </w:t>
      </w:r>
      <w:bookmarkStart w:id="0" w:name="_Hlk7436984"/>
      <w:r w:rsidR="00D5111E" w:rsidRPr="003B7F85">
        <w:rPr>
          <w:rFonts w:ascii="Times New Roman" w:hAnsi="Times New Roman" w:cs="Times New Roman"/>
          <w:sz w:val="26"/>
          <w:szCs w:val="24"/>
        </w:rPr>
        <w:t>PONTO CERTO MATERIAL ELÉTRICO E HIDRÁULICOS LTDA</w:t>
      </w:r>
      <w:bookmarkStart w:id="1" w:name="_GoBack"/>
      <w:bookmarkEnd w:id="0"/>
      <w:bookmarkEnd w:id="1"/>
      <w:r w:rsidR="0062352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623522" w:rsidRPr="0062352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 12 (doze) meses, fundamentado no art. 2º, VI, da IN n°01/2017 da Presidência da República,  acrescida de 50% (cinquenta por cento) por não ter o licitante colaborado com a instrução do presente processo (art. 3º, III) da mesma IN, uma vez que não respondeu às notificações que lhe foram enviadas, </w:t>
      </w:r>
      <w:r w:rsidR="00623522" w:rsidRPr="00623522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perfazendo um total de 18 (dezoito) meses</w:t>
      </w:r>
      <w:r w:rsidR="00623522" w:rsidRPr="00623522">
        <w:rPr>
          <w:rFonts w:ascii="Times New Roman" w:eastAsia="Calibri" w:hAnsi="Times New Roman" w:cs="Times New Roman"/>
          <w:color w:val="00000A"/>
          <w:sz w:val="24"/>
          <w:szCs w:val="24"/>
        </w:rPr>
        <w:t>, com o devido registro no SICAF. Entendeu não aplicar a multa, posto que o valor seria irrisório para movimentar a máquina pública</w:t>
      </w:r>
      <w:r w:rsidR="004C08BE" w:rsidRPr="00891E9E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r w:rsidR="00891E9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Ausente da votação o membro Melina Malta </w:t>
      </w:r>
      <w:proofErr w:type="spellStart"/>
      <w:r w:rsidR="00891E9E">
        <w:rPr>
          <w:rFonts w:ascii="Times New Roman" w:eastAsia="Calibri" w:hAnsi="Times New Roman" w:cs="Times New Roman"/>
          <w:color w:val="00000A"/>
          <w:sz w:val="24"/>
          <w:szCs w:val="24"/>
        </w:rPr>
        <w:t>Deolindo</w:t>
      </w:r>
      <w:proofErr w:type="spellEnd"/>
      <w:r w:rsidR="00891E9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Vasconcelos.</w:t>
      </w:r>
    </w:p>
    <w:p w:rsidR="00DF6EB6" w:rsidRPr="007F66A7" w:rsidRDefault="00DF6EB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F6986" w:rsidRDefault="00DF6EB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Maceió, 1</w:t>
      </w:r>
      <w:r w:rsidR="00393705">
        <w:rPr>
          <w:rFonts w:ascii="Times New Roman" w:eastAsia="Calibri" w:hAnsi="Times New Roman" w:cs="Times New Roman"/>
          <w:color w:val="00000A"/>
          <w:sz w:val="24"/>
          <w:szCs w:val="24"/>
        </w:rPr>
        <w:t>4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</w:t>
      </w:r>
      <w:r w:rsidR="00393705">
        <w:rPr>
          <w:rFonts w:ascii="Times New Roman" w:eastAsia="Calibri" w:hAnsi="Times New Roman" w:cs="Times New Roman"/>
          <w:color w:val="00000A"/>
          <w:sz w:val="24"/>
          <w:szCs w:val="24"/>
        </w:rPr>
        <w:t>maio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201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393705" w:rsidRDefault="00393705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E7AA3" w:rsidRDefault="00393705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Ruth Graziela Brandão Dantas</w:t>
      </w:r>
    </w:p>
    <w:p w:rsidR="004C08BE" w:rsidRDefault="004C08BE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Relator</w:t>
      </w:r>
      <w:r w:rsidR="00393705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</w:p>
    <w:p w:rsidR="004C08BE" w:rsidRDefault="004C08BE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93705" w:rsidRPr="00393705" w:rsidRDefault="00393705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16"/>
          <w:szCs w:val="24"/>
        </w:rPr>
      </w:pPr>
    </w:p>
    <w:p w:rsidR="00393705" w:rsidRDefault="00393705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Claudino Fidelis</w:t>
      </w:r>
    </w:p>
    <w:p w:rsidR="00393705" w:rsidRDefault="00393705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Presidente</w:t>
      </w:r>
    </w:p>
    <w:p w:rsidR="00393705" w:rsidRDefault="00393705" w:rsidP="00393705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E7AA3" w:rsidRPr="00BE7AA3" w:rsidRDefault="00BE7AA3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10"/>
          <w:szCs w:val="24"/>
        </w:rPr>
      </w:pPr>
    </w:p>
    <w:p w:rsidR="00BE7AA3" w:rsidRDefault="00BE7AA3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Maria Zélia Lopes de Oliveira</w:t>
      </w:r>
    </w:p>
    <w:p w:rsidR="00393705" w:rsidRDefault="00393705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BE7AA3" w:rsidRP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393705" w:rsidRDefault="00393705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E7AA3" w:rsidRDefault="00BE7AA3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Danielli Manzini de Carvalho</w:t>
      </w:r>
    </w:p>
    <w:p w:rsidR="00BE7AA3" w:rsidRDefault="00BE7AA3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BE7AA3" w:rsidRDefault="00BE7AA3" w:rsidP="00BE7AA3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4C08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F3A" w:rsidRDefault="003C4F3A" w:rsidP="00930E28">
      <w:pPr>
        <w:spacing w:after="0" w:line="240" w:lineRule="auto"/>
      </w:pPr>
      <w:r>
        <w:separator/>
      </w:r>
    </w:p>
  </w:endnote>
  <w:end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789282"/>
      <w:docPartObj>
        <w:docPartGallery w:val="Page Numbers (Bottom of Page)"/>
        <w:docPartUnique/>
      </w:docPartObj>
    </w:sdtPr>
    <w:sdtEndPr/>
    <w:sdtContent>
      <w:p w:rsidR="00145B33" w:rsidRDefault="00145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E28" w:rsidRPr="00355BF5" w:rsidRDefault="00930E28" w:rsidP="00930E28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F3A" w:rsidRDefault="003C4F3A" w:rsidP="00930E28">
      <w:pPr>
        <w:spacing w:after="0" w:line="240" w:lineRule="auto"/>
      </w:pPr>
      <w:r>
        <w:separator/>
      </w:r>
    </w:p>
  </w:footnote>
  <w:foot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33" w:rsidRDefault="00A738DF">
    <w:pPr>
      <w:pStyle w:val="Cabealho"/>
      <w:jc w:val="right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E14356" wp14:editId="04E1083F">
          <wp:simplePos x="0" y="0"/>
          <wp:positionH relativeFrom="column">
            <wp:posOffset>790575</wp:posOffset>
          </wp:positionH>
          <wp:positionV relativeFrom="paragraph">
            <wp:posOffset>170815</wp:posOffset>
          </wp:positionV>
          <wp:extent cx="3655060" cy="942975"/>
          <wp:effectExtent l="0" t="0" r="254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30E28" w:rsidRDefault="00930E28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1E3A25" w:rsidP="00930E28">
    <w:pPr>
      <w:pStyle w:val="Cabealho"/>
      <w:jc w:val="center"/>
    </w:pPr>
    <w:r>
      <w:t>COMISSÃO PERMANENTE DE A</w:t>
    </w:r>
    <w:r w:rsidR="006A0366">
      <w:t>P</w:t>
    </w:r>
    <w:r>
      <w:t>LICAÇÃO DE SANÇÕES ADMINISTRATIVAS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641"/>
    <w:multiLevelType w:val="hybridMultilevel"/>
    <w:tmpl w:val="79D0958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109EC"/>
    <w:multiLevelType w:val="hybridMultilevel"/>
    <w:tmpl w:val="4CFCE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28"/>
    <w:rsid w:val="00017FD1"/>
    <w:rsid w:val="0007711A"/>
    <w:rsid w:val="000835DA"/>
    <w:rsid w:val="000C7094"/>
    <w:rsid w:val="000F1F7A"/>
    <w:rsid w:val="00125B00"/>
    <w:rsid w:val="00142B31"/>
    <w:rsid w:val="00145B33"/>
    <w:rsid w:val="001761B9"/>
    <w:rsid w:val="001B711E"/>
    <w:rsid w:val="001C3C14"/>
    <w:rsid w:val="001E3A25"/>
    <w:rsid w:val="001F40B8"/>
    <w:rsid w:val="00207EAF"/>
    <w:rsid w:val="00274095"/>
    <w:rsid w:val="00284607"/>
    <w:rsid w:val="00293836"/>
    <w:rsid w:val="002A6F19"/>
    <w:rsid w:val="002B5A73"/>
    <w:rsid w:val="002F4B4F"/>
    <w:rsid w:val="0032208A"/>
    <w:rsid w:val="00336094"/>
    <w:rsid w:val="00344BCA"/>
    <w:rsid w:val="00355BF5"/>
    <w:rsid w:val="00372F47"/>
    <w:rsid w:val="00383364"/>
    <w:rsid w:val="00393705"/>
    <w:rsid w:val="0039496C"/>
    <w:rsid w:val="003C4F3A"/>
    <w:rsid w:val="003D6282"/>
    <w:rsid w:val="00423576"/>
    <w:rsid w:val="00442359"/>
    <w:rsid w:val="0044731C"/>
    <w:rsid w:val="00460ECF"/>
    <w:rsid w:val="004A326E"/>
    <w:rsid w:val="004B4FBB"/>
    <w:rsid w:val="004C08BE"/>
    <w:rsid w:val="004E01CD"/>
    <w:rsid w:val="004F3A77"/>
    <w:rsid w:val="00557055"/>
    <w:rsid w:val="005752C5"/>
    <w:rsid w:val="005F0955"/>
    <w:rsid w:val="00622747"/>
    <w:rsid w:val="00623522"/>
    <w:rsid w:val="00661777"/>
    <w:rsid w:val="006A0366"/>
    <w:rsid w:val="006D01AA"/>
    <w:rsid w:val="006E1329"/>
    <w:rsid w:val="006F66C6"/>
    <w:rsid w:val="00752523"/>
    <w:rsid w:val="0075640E"/>
    <w:rsid w:val="007836E7"/>
    <w:rsid w:val="007A4755"/>
    <w:rsid w:val="007F66A7"/>
    <w:rsid w:val="00800A3C"/>
    <w:rsid w:val="00891E9E"/>
    <w:rsid w:val="008C721C"/>
    <w:rsid w:val="008D33F2"/>
    <w:rsid w:val="008D4B55"/>
    <w:rsid w:val="008D62C7"/>
    <w:rsid w:val="009109C5"/>
    <w:rsid w:val="009119CF"/>
    <w:rsid w:val="00927724"/>
    <w:rsid w:val="00930E28"/>
    <w:rsid w:val="00943B44"/>
    <w:rsid w:val="009700A6"/>
    <w:rsid w:val="00990508"/>
    <w:rsid w:val="009972D2"/>
    <w:rsid w:val="009D4D59"/>
    <w:rsid w:val="00A26E43"/>
    <w:rsid w:val="00A30A07"/>
    <w:rsid w:val="00A738DF"/>
    <w:rsid w:val="00AE1925"/>
    <w:rsid w:val="00B719AD"/>
    <w:rsid w:val="00B74AF2"/>
    <w:rsid w:val="00B75004"/>
    <w:rsid w:val="00B94D91"/>
    <w:rsid w:val="00BB1324"/>
    <w:rsid w:val="00BC0691"/>
    <w:rsid w:val="00BE7AA3"/>
    <w:rsid w:val="00C27876"/>
    <w:rsid w:val="00C319DA"/>
    <w:rsid w:val="00C41C73"/>
    <w:rsid w:val="00C6329A"/>
    <w:rsid w:val="00C76B78"/>
    <w:rsid w:val="00CB2F01"/>
    <w:rsid w:val="00CB79CB"/>
    <w:rsid w:val="00CD5D21"/>
    <w:rsid w:val="00CE2F93"/>
    <w:rsid w:val="00CF263A"/>
    <w:rsid w:val="00D5111E"/>
    <w:rsid w:val="00DC5028"/>
    <w:rsid w:val="00DF6EB6"/>
    <w:rsid w:val="00E11B5A"/>
    <w:rsid w:val="00E42DD2"/>
    <w:rsid w:val="00E55993"/>
    <w:rsid w:val="00E94B9D"/>
    <w:rsid w:val="00E96D2A"/>
    <w:rsid w:val="00EA6D24"/>
    <w:rsid w:val="00EB4123"/>
    <w:rsid w:val="00EE0740"/>
    <w:rsid w:val="00EF1971"/>
    <w:rsid w:val="00F1300B"/>
    <w:rsid w:val="00F332FD"/>
    <w:rsid w:val="00F545D3"/>
    <w:rsid w:val="00F63A84"/>
    <w:rsid w:val="00F84EC1"/>
    <w:rsid w:val="00F86A26"/>
    <w:rsid w:val="00FA2C11"/>
    <w:rsid w:val="00FA7C84"/>
    <w:rsid w:val="00FD3640"/>
    <w:rsid w:val="00FE76B2"/>
    <w:rsid w:val="00FF12A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DDB275F"/>
  <w15:chartTrackingRefBased/>
  <w15:docId w15:val="{BD65A3D2-4F47-408B-8D5E-FF2D82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E28"/>
  </w:style>
  <w:style w:type="paragraph" w:styleId="Rodap">
    <w:name w:val="footer"/>
    <w:basedOn w:val="Normal"/>
    <w:link w:val="Rodap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E28"/>
  </w:style>
  <w:style w:type="character" w:styleId="Hyperlink">
    <w:name w:val="Hyperlink"/>
    <w:basedOn w:val="Fontepargpadro"/>
    <w:uiPriority w:val="99"/>
    <w:unhideWhenUsed/>
    <w:rsid w:val="00355B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B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Coelho dos Santos Junior</dc:creator>
  <cp:keywords/>
  <dc:description/>
  <cp:lastModifiedBy>Ruth Graziela Brandão Dantas</cp:lastModifiedBy>
  <cp:revision>3</cp:revision>
  <cp:lastPrinted>2019-05-23T16:21:00Z</cp:lastPrinted>
  <dcterms:created xsi:type="dcterms:W3CDTF">2019-05-23T16:13:00Z</dcterms:created>
  <dcterms:modified xsi:type="dcterms:W3CDTF">2019-05-23T16:21:00Z</dcterms:modified>
</cp:coreProperties>
</file>