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28" w:rsidRDefault="000B135C">
      <w:pPr>
        <w:tabs>
          <w:tab w:val="left" w:pos="284"/>
        </w:tabs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TERMO DE REFERÊNCIA</w:t>
      </w: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  <w:u w:val="single"/>
        </w:rPr>
      </w:pPr>
    </w:p>
    <w:p w:rsidR="00C67128" w:rsidRDefault="000B135C">
      <w:pPr>
        <w:pStyle w:val="Ttulo4"/>
        <w:numPr>
          <w:ilvl w:val="0"/>
          <w:numId w:val="1"/>
        </w:numPr>
        <w:pBdr>
          <w:bottom w:val="single" w:sz="4" w:space="1" w:color="00000A"/>
        </w:pBdr>
        <w:tabs>
          <w:tab w:val="left" w:pos="284"/>
        </w:tabs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INTRODUÇÃO</w:t>
      </w:r>
    </w:p>
    <w:p w:rsidR="00C67128" w:rsidRDefault="000B135C">
      <w:pPr>
        <w:pStyle w:val="PargrafodaLista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Este documento tem o objetivo de reunir os elementos necessários e suficientes à caracterização do objeto a ser contratado, fornecendo subsídios para a montagem do plano de contratação, conforme a Lei 10.520/2002.</w:t>
      </w:r>
    </w:p>
    <w:p w:rsidR="00C67128" w:rsidRDefault="00C67128">
      <w:pPr>
        <w:pStyle w:val="PargrafodaLista"/>
        <w:tabs>
          <w:tab w:val="left" w:pos="284"/>
        </w:tabs>
        <w:ind w:left="0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JUSTIFICATIVA</w:t>
      </w:r>
    </w:p>
    <w:p w:rsidR="00C67128" w:rsidRDefault="000B135C">
      <w:pPr>
        <w:pStyle w:val="PargrafodaLista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contratação de </w:t>
      </w:r>
      <w:r>
        <w:t>empresa especializada no fornecimento de escada plataforma e transpalete hidráulico</w:t>
      </w:r>
      <w:r>
        <w:rPr>
          <w:sz w:val="22"/>
          <w:szCs w:val="22"/>
        </w:rPr>
        <w:t xml:space="preserve"> atenderá às necessidades da Secretaria Municipal de Saúde.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Estudo de Estimativa:</w:t>
      </w:r>
    </w:p>
    <w:p w:rsidR="00C67128" w:rsidRDefault="000B135C">
      <w:pPr>
        <w:pStyle w:val="PargrafodaLista"/>
        <w:numPr>
          <w:ilvl w:val="2"/>
          <w:numId w:val="2"/>
        </w:numPr>
        <w:tabs>
          <w:tab w:val="left" w:pos="284"/>
        </w:tabs>
        <w:ind w:left="567" w:hanging="567"/>
        <w:contextualSpacing/>
        <w:jc w:val="both"/>
        <w:rPr>
          <w:sz w:val="22"/>
          <w:szCs w:val="22"/>
        </w:rPr>
      </w:pPr>
      <w:r>
        <w:t>A presente aquisição destina-se a otimizar a movimentação</w:t>
      </w:r>
      <w:r>
        <w:t xml:space="preserve"> de estoque e separação de mercadorias a ser entregues pela Central de Abastecimento Farmacêutico aos Postos de Saúde da SMS-Maceió. O quantitativo foi estabelecido considerando o volume das movimentações de estoque realizadas pela Central de Abastecimento</w:t>
      </w:r>
      <w:r>
        <w:t xml:space="preserve"> Farmacêutico.</w:t>
      </w:r>
    </w:p>
    <w:p w:rsidR="00C67128" w:rsidRDefault="00C67128">
      <w:pPr>
        <w:pStyle w:val="PargrafodaLista"/>
        <w:ind w:left="426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OBJETO</w:t>
      </w:r>
    </w:p>
    <w:p w:rsidR="00C67128" w:rsidRDefault="000B135C">
      <w:pPr>
        <w:pStyle w:val="PargrafodaLista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Aquisição de </w:t>
      </w:r>
      <w:r>
        <w:t>escada plataforma e transpalete hidráulico</w:t>
      </w:r>
      <w:r>
        <w:rPr>
          <w:sz w:val="22"/>
          <w:szCs w:val="22"/>
        </w:rPr>
        <w:t>, para atender às necessidades da Secretaria Municipal de Saúde, conforme especificações e quantidades constantes no Anexo I deste Termo de Referência.</w:t>
      </w:r>
    </w:p>
    <w:p w:rsidR="00C67128" w:rsidRDefault="00C67128">
      <w:pPr>
        <w:pStyle w:val="PargrafodaLista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60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MODALIDADE DA </w:t>
      </w:r>
      <w:r>
        <w:rPr>
          <w:b/>
          <w:sz w:val="22"/>
          <w:szCs w:val="22"/>
        </w:rPr>
        <w:t>LICITAÇÃO E CRITÉRIO DE JULGAMENTO</w:t>
      </w:r>
    </w:p>
    <w:p w:rsidR="00C67128" w:rsidRDefault="000B135C">
      <w:pPr>
        <w:pStyle w:val="PargrafodaLista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aquisição dar-se-á por compra direta, tendo como critério de julgamento e classificação das propostas, o menor preço unitário, observadas as especificações técnicas definidas no Anexo I deste Termo de Referência.</w:t>
      </w:r>
    </w:p>
    <w:p w:rsidR="00C67128" w:rsidRDefault="00C67128">
      <w:pPr>
        <w:pStyle w:val="PargrafodaLista"/>
        <w:tabs>
          <w:tab w:val="left" w:pos="142"/>
          <w:tab w:val="left" w:pos="426"/>
        </w:tabs>
        <w:ind w:left="390"/>
        <w:jc w:val="both"/>
        <w:rPr>
          <w:color w:val="FF0000"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60"/>
        <w:ind w:left="0" w:firstLine="0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DA DO</w:t>
      </w:r>
      <w:r>
        <w:rPr>
          <w:b/>
          <w:sz w:val="22"/>
          <w:szCs w:val="22"/>
        </w:rPr>
        <w:t xml:space="preserve">TAÇÃO ORÇAMENTÁRIA 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As despesas decorrentes da contratação do objeto deste Termo de Re</w:t>
      </w:r>
      <w:r>
        <w:rPr>
          <w:sz w:val="22"/>
          <w:szCs w:val="22"/>
        </w:rPr>
        <w:t xml:space="preserve">ferência correrão à conta dos recursos específicos consignados </w:t>
      </w:r>
      <w:r>
        <w:rPr>
          <w:rFonts w:eastAsia="Calibri"/>
          <w:sz w:val="22"/>
          <w:szCs w:val="22"/>
        </w:rPr>
        <w:t xml:space="preserve">no Orçamento da Secretaria Municipal de Saúde, elemento de despesa nº 44.90.52.00 (Equipamentos e Material </w:t>
      </w:r>
      <w:r>
        <w:rPr>
          <w:rFonts w:eastAsia="Calibri"/>
          <w:sz w:val="22"/>
          <w:szCs w:val="22"/>
        </w:rPr>
        <w:t>Permanente), fonte de financiamento 0400.01.001 (Atenção Básica).</w:t>
      </w:r>
    </w:p>
    <w:p w:rsidR="00C67128" w:rsidRDefault="00C67128">
      <w:pPr>
        <w:pStyle w:val="PargrafodaLista"/>
        <w:tabs>
          <w:tab w:val="left" w:pos="284"/>
        </w:tabs>
        <w:spacing w:after="60"/>
        <w:ind w:left="0"/>
        <w:jc w:val="both"/>
        <w:rPr>
          <w:rFonts w:eastAsia="Calibri"/>
          <w:color w:val="FF0000"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CONDIÇÕES DE FORNECIMENTO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 prazo para entrega deverá ser de até 30 (trinta) dias, contados do recebimento da Nota de Empenho/Ordem de Fornecimento (via e-mail, correios ou fac-símile) </w:t>
      </w:r>
      <w:r>
        <w:rPr>
          <w:rFonts w:eastAsia="Calibri"/>
          <w:sz w:val="22"/>
          <w:szCs w:val="22"/>
        </w:rPr>
        <w:t>ou retirado na sede da Contratante;</w:t>
      </w:r>
    </w:p>
    <w:p w:rsidR="00C67128" w:rsidRDefault="000B135C">
      <w:pPr>
        <w:pStyle w:val="PargrafodaLista"/>
        <w:numPr>
          <w:ilvl w:val="1"/>
          <w:numId w:val="2"/>
        </w:numPr>
        <w:jc w:val="both"/>
      </w:pPr>
      <w:r>
        <w:rPr>
          <w:color w:val="000000"/>
          <w:sz w:val="22"/>
          <w:szCs w:val="22"/>
        </w:rPr>
        <w:t xml:space="preserve">Os produtos </w:t>
      </w:r>
      <w:r>
        <w:rPr>
          <w:rFonts w:eastAsia="Calibri"/>
          <w:sz w:val="22"/>
          <w:szCs w:val="22"/>
        </w:rPr>
        <w:t>deverão</w:t>
      </w:r>
      <w:r>
        <w:rPr>
          <w:color w:val="000000"/>
          <w:sz w:val="22"/>
          <w:szCs w:val="22"/>
        </w:rPr>
        <w:t xml:space="preserve"> ser entregues, em única parcela, acompanhados da documentação fiscal, manuais do fabricante, juntamente com cópia da Nota de Empenho/Ordem de Fornecimento, na Central de Abastecimento Farmacêutico</w:t>
      </w:r>
      <w:r>
        <w:rPr>
          <w:bCs/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lo</w:t>
      </w:r>
      <w:r>
        <w:rPr>
          <w:color w:val="000000"/>
          <w:sz w:val="22"/>
          <w:szCs w:val="22"/>
          <w:shd w:val="clear" w:color="auto" w:fill="FFFFFF"/>
        </w:rPr>
        <w:t>calizada na Avenida Juca Sampaio, nº 620, Barro Duro, CEP: 57.0454-365, Maceió-AL, devendo agendar o horário da entrega, com 24 (vinte e quatro) horas de antecedência, através do telefone: (82) 3315-5352.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 Contratada deverá fornecer </w:t>
      </w:r>
      <w:r>
        <w:rPr>
          <w:rFonts w:eastAsia="Calibri"/>
          <w:sz w:val="22"/>
          <w:szCs w:val="22"/>
        </w:rPr>
        <w:t>os</w:t>
      </w:r>
      <w:r>
        <w:rPr>
          <w:color w:val="000000"/>
          <w:sz w:val="22"/>
          <w:szCs w:val="22"/>
        </w:rPr>
        <w:t xml:space="preserve">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>
        <w:rPr>
          <w:color w:val="000000"/>
          <w:sz w:val="22"/>
          <w:szCs w:val="22"/>
        </w:rPr>
        <w:t>responsável pela requisição.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</w:pPr>
      <w:r>
        <w:rPr>
          <w:sz w:val="22"/>
          <w:szCs w:val="22"/>
        </w:rPr>
        <w:t>Os produtos deverão atender aos dispositivos da Lei nº 8.078/90 (Código de Defesa do Consumidor) e às demais legislações pertinentes.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 produtos serão objeto </w:t>
      </w:r>
      <w:r>
        <w:rPr>
          <w:rFonts w:eastAsia="Calibri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recebimento provisório e definitivo, nos termos do art. 73, II “a</w:t>
      </w:r>
      <w:r>
        <w:rPr>
          <w:color w:val="000000"/>
          <w:sz w:val="22"/>
          <w:szCs w:val="22"/>
        </w:rPr>
        <w:t>” e “b”, da lei Federal nº 8.666/1993.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ato de recebimento dos </w:t>
      </w:r>
      <w:r>
        <w:rPr>
          <w:rFonts w:eastAsia="Calibri"/>
          <w:sz w:val="22"/>
          <w:szCs w:val="22"/>
        </w:rPr>
        <w:t>produtos</w:t>
      </w:r>
      <w:r>
        <w:rPr>
          <w:color w:val="000000"/>
          <w:sz w:val="22"/>
          <w:szCs w:val="22"/>
        </w:rPr>
        <w:t>, não importa em sua aceitação, a critério da Contratante, os produtos fornecidos serão submetidos à verificação. Cabe a Contratada a substituição dos produtos que vierem a ser recusad</w:t>
      </w:r>
      <w:r>
        <w:rPr>
          <w:color w:val="000000"/>
          <w:sz w:val="22"/>
          <w:szCs w:val="22"/>
        </w:rPr>
        <w:t>os, no prazo máximo de 15 (quinze) dias úteis, contados da solicitação.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Contratante poderá se </w:t>
      </w:r>
      <w:r>
        <w:rPr>
          <w:rFonts w:eastAsia="Calibri"/>
          <w:sz w:val="22"/>
          <w:szCs w:val="22"/>
        </w:rPr>
        <w:t>recusar</w:t>
      </w:r>
      <w:r>
        <w:rPr>
          <w:sz w:val="22"/>
          <w:szCs w:val="22"/>
        </w:rPr>
        <w:t xml:space="preserve"> a receber os produtos, caso estes estejam em desacordo com a proposta apresentada pela empresa vencedora, fato que será devidamente caracterizado e comunicado à empresa, sem que a esta caiba direito de indenização.</w:t>
      </w:r>
    </w:p>
    <w:p w:rsidR="00C67128" w:rsidRDefault="00C67128">
      <w:pPr>
        <w:pStyle w:val="PargrafodaLista"/>
        <w:tabs>
          <w:tab w:val="left" w:pos="0"/>
          <w:tab w:val="left" w:pos="284"/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DA HABILITAÇÃO TÉCNICA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rFonts w:eastAsia="Calibri"/>
          <w:b/>
          <w:sz w:val="22"/>
          <w:szCs w:val="22"/>
        </w:rPr>
      </w:pPr>
      <w:r>
        <w:rPr>
          <w:sz w:val="22"/>
          <w:szCs w:val="22"/>
        </w:rPr>
        <w:t>Atestado ou cert</w:t>
      </w:r>
      <w:r>
        <w:rPr>
          <w:sz w:val="22"/>
          <w:szCs w:val="22"/>
        </w:rPr>
        <w:t xml:space="preserve">idão expedido por </w:t>
      </w:r>
      <w:r>
        <w:rPr>
          <w:rFonts w:eastAsia="Calibri"/>
          <w:sz w:val="22"/>
          <w:szCs w:val="22"/>
        </w:rPr>
        <w:t>pessoa</w:t>
      </w:r>
      <w:r>
        <w:rPr>
          <w:sz w:val="22"/>
          <w:szCs w:val="22"/>
        </w:rPr>
        <w:t xml:space="preserve"> jurídica de direito público ou privado, comprovando que a contratada já realizou fornecimento compatível com o objeto deste Termo de Referência. A comprovação deverá ser feita por meio de apresentação de documentos devidamente assi</w:t>
      </w:r>
      <w:r>
        <w:rPr>
          <w:sz w:val="22"/>
          <w:szCs w:val="22"/>
        </w:rPr>
        <w:t>nados, carimbados e em papel timbrado da empresa ou Órgão que adquiriu os produtos.</w:t>
      </w:r>
    </w:p>
    <w:p w:rsidR="00C67128" w:rsidRDefault="00C67128">
      <w:pPr>
        <w:pStyle w:val="PargrafodaLista"/>
        <w:ind w:left="426"/>
        <w:jc w:val="both"/>
        <w:rPr>
          <w:bCs/>
          <w:color w:val="FF0000"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DAS OBRIGAÇÕES</w:t>
      </w: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 CONTRATADA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Efetuar a entrega do objeto em perfeitas condições, conforme especificações, prazo e local constantes neste Termo de Referência;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Comunicar</w:t>
      </w:r>
      <w:r>
        <w:rPr>
          <w:color w:val="000000"/>
          <w:sz w:val="22"/>
          <w:szCs w:val="22"/>
        </w:rPr>
        <w:t>, po</w:t>
      </w:r>
      <w:r>
        <w:rPr>
          <w:color w:val="000000"/>
          <w:sz w:val="22"/>
          <w:szCs w:val="22"/>
        </w:rPr>
        <w:t>r escrito, a ocorrência de qualquer anormalidade de caráter urgente que impossibilite o seu cumprimento, tão logo seja verificada, e prestar os esclarecimentos que julgar necessários à requisitante até 24 (vinte e quatro) horas antes do prazo previsto para</w:t>
      </w:r>
      <w:r>
        <w:rPr>
          <w:color w:val="000000"/>
          <w:sz w:val="22"/>
          <w:szCs w:val="22"/>
        </w:rPr>
        <w:t xml:space="preserve"> a entrega;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Responsabilizar-se pelos encargos fiscais, frete, taxas comerciais, tributos e contribuições que incidirem direta ou indiretamente, e demais ônus referentes ao fornecimento do produto;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Providenciar a imediata substituição das deficiências apont</w:t>
      </w:r>
      <w:r>
        <w:rPr>
          <w:bCs/>
          <w:sz w:val="22"/>
          <w:szCs w:val="22"/>
        </w:rPr>
        <w:t>adas pela fiscalização na execução da Contratação;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Substituir, às suas expensas, imediatamente, no total, ou em parte, os produtos que vierem a ser recusados, quando se verificarem vícios, defeitos ou incorreções (artigo 69, Lei Federal n.º 8.666/93);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Resp</w:t>
      </w:r>
      <w:r>
        <w:rPr>
          <w:bCs/>
          <w:sz w:val="22"/>
          <w:szCs w:val="22"/>
        </w:rPr>
        <w:t>onder por quaisquer danos pessoais ou materiais causados, quando caracterizada a má fé, o dolo, a negligência, imprudência ou a imperícia profissional, durante a entrega dos produtos;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Manter, durante a execução da contratação, as condições da habilitação e</w:t>
      </w:r>
      <w:r>
        <w:rPr>
          <w:bCs/>
          <w:sz w:val="22"/>
          <w:szCs w:val="22"/>
        </w:rPr>
        <w:t xml:space="preserve"> qualificação exigidas;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Ressarcir a Administração Pública do equivalente a todos os danos decorrentes de paralisação ou interrupção do objeto contratado, exceto quando isso ocorrer por exigência da Contratante ou ainda por caso fortuito ou força maior;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Res</w:t>
      </w:r>
      <w:r>
        <w:rPr>
          <w:bCs/>
          <w:sz w:val="22"/>
          <w:szCs w:val="22"/>
        </w:rPr>
        <w:t>ponsabilizar-se por todos e quaisquer danos e/ou prejuízos que vier a causar à Contratante ou a terceiros, tendo como agente a Contratada, na pessoa de prepostos ou estranhos;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Responsabilizar-se por quaisquer multas ou despesas de qualquer natureza imposta</w:t>
      </w:r>
      <w:r>
        <w:rPr>
          <w:bCs/>
          <w:sz w:val="22"/>
          <w:szCs w:val="22"/>
        </w:rPr>
        <w:t>s pela Contratante em decorrência de descumprimento de qualquer cláusula ou condição do instrumento contratual ou instrumento equivalente, dispositivo legal ou regulamento, por sua parte, inclusive os horários de entrega</w:t>
      </w:r>
      <w:r>
        <w:rPr>
          <w:sz w:val="22"/>
          <w:szCs w:val="22"/>
        </w:rPr>
        <w:t>.</w:t>
      </w:r>
    </w:p>
    <w:p w:rsidR="00C67128" w:rsidRDefault="00C67128">
      <w:pPr>
        <w:pStyle w:val="PargrafodaLista"/>
        <w:ind w:left="720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1"/>
          <w:numId w:val="2"/>
        </w:num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 CONTRATANTE: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Emitir Nota de </w:t>
      </w:r>
      <w:r>
        <w:rPr>
          <w:bCs/>
          <w:sz w:val="22"/>
          <w:szCs w:val="22"/>
        </w:rPr>
        <w:t>Empenho/Ordem de Fornecimento;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Acompanhar e fiscalizar a execução do objeto, atestar as Notas Fiscais e efetuar o pagamento;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Solicitar o fornecimento dos produtos, mediante Nota de Empenho/Ordem de Fornecimento;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Comunicar, imediatamente, as irregularidades</w:t>
      </w:r>
      <w:r>
        <w:rPr>
          <w:bCs/>
          <w:sz w:val="22"/>
          <w:szCs w:val="22"/>
        </w:rPr>
        <w:t xml:space="preserve"> verificadas na execução da contratação;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Recusar-se a receber os produtos, caso estes estejam em desacordo com a proposta apresentada pela Contratada, fato que será devidamente caracterizado e comunicado à empresa, sem que a esta caiba direito de indenizaç</w:t>
      </w:r>
      <w:r>
        <w:rPr>
          <w:bCs/>
          <w:sz w:val="22"/>
          <w:szCs w:val="22"/>
        </w:rPr>
        <w:t>ão;</w:t>
      </w:r>
    </w:p>
    <w:p w:rsidR="00C67128" w:rsidRDefault="000B135C">
      <w:pPr>
        <w:pStyle w:val="PargrafodaLista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Aplicar à Contratada as penalidades regulamentares contratuais.</w:t>
      </w:r>
    </w:p>
    <w:p w:rsidR="00C67128" w:rsidRDefault="00C67128">
      <w:pPr>
        <w:spacing w:after="50"/>
        <w:ind w:left="426"/>
        <w:jc w:val="both"/>
        <w:rPr>
          <w:bCs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0" w:color="00000A"/>
        </w:pBdr>
        <w:tabs>
          <w:tab w:val="left" w:pos="284"/>
        </w:tabs>
        <w:spacing w:after="60"/>
        <w:ind w:left="0" w:firstLine="0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DO PAGAMENTO</w:t>
      </w:r>
    </w:p>
    <w:p w:rsidR="00C67128" w:rsidRDefault="000B135C">
      <w:pPr>
        <w:pStyle w:val="PargrafodaLista"/>
        <w:numPr>
          <w:ilvl w:val="1"/>
          <w:numId w:val="2"/>
        </w:numPr>
        <w:spacing w:after="60"/>
        <w:ind w:left="426" w:hanging="426"/>
        <w:jc w:val="both"/>
      </w:pPr>
      <w:r>
        <w:rPr>
          <w:sz w:val="22"/>
          <w:szCs w:val="22"/>
        </w:rPr>
        <w:t xml:space="preserve">O pagamento será efetuado pela Contratante, de acordo com o quantitativo efetivamente fornecido, através de depósito bancário em conta-corrente fornecida pela contratada, em </w:t>
      </w:r>
      <w:r>
        <w:rPr>
          <w:sz w:val="22"/>
          <w:szCs w:val="22"/>
        </w:rPr>
        <w:t xml:space="preserve">até 30 (trinta) dias, contados da apresentação de requerimento, nota fiscal, recibo e certidões necessárias, devidamente analisadas e atestadas pelo servidor designado pela Contratante. </w:t>
      </w:r>
    </w:p>
    <w:p w:rsidR="00C67128" w:rsidRDefault="000B135C">
      <w:pPr>
        <w:pStyle w:val="PargrafodaLista"/>
        <w:numPr>
          <w:ilvl w:val="1"/>
          <w:numId w:val="2"/>
        </w:numPr>
        <w:spacing w:after="60"/>
        <w:ind w:left="426" w:hanging="426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Havendo erro na Fatura/Nota Fiscal/Recibo, ou outra circunstância que</w:t>
      </w:r>
      <w:r>
        <w:rPr>
          <w:sz w:val="22"/>
          <w:szCs w:val="22"/>
        </w:rPr>
        <w:t xml:space="preserve"> desaprove a liquidação, o pagamento será sustado, até que sejam tomadas as medidas saneadoras necessárias.</w:t>
      </w:r>
    </w:p>
    <w:p w:rsidR="00C67128" w:rsidRDefault="00C67128">
      <w:pPr>
        <w:pStyle w:val="PargrafodaLista"/>
        <w:tabs>
          <w:tab w:val="left" w:pos="284"/>
        </w:tabs>
        <w:ind w:left="0"/>
        <w:jc w:val="both"/>
        <w:rPr>
          <w:rFonts w:eastAsia="Calibri"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DA CONTRATAÇÃO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Por se tratar de compra com entrega imediata e integral dos produtos, o Contrato decorrente da compra direta será substituído por </w:t>
      </w:r>
      <w:r>
        <w:rPr>
          <w:b/>
          <w:bCs/>
          <w:sz w:val="22"/>
          <w:szCs w:val="22"/>
          <w:u w:val="single"/>
        </w:rPr>
        <w:t>No</w:t>
      </w:r>
      <w:r>
        <w:rPr>
          <w:b/>
          <w:bCs/>
          <w:sz w:val="22"/>
          <w:szCs w:val="22"/>
          <w:u w:val="single"/>
        </w:rPr>
        <w:t>ta de Empenho de Despesa</w:t>
      </w:r>
      <w:r>
        <w:rPr>
          <w:bCs/>
          <w:sz w:val="22"/>
          <w:szCs w:val="22"/>
        </w:rPr>
        <w:t>, conforme previsão do Art. 62 da lei 8.666/93;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O prazo para o recebimento da Nota de Empenho de Despesa será de no máximo 05 (cinco) dias, contados da convocação para a sua formalização, podendo ser prorrogado uma só vez, por igual</w:t>
      </w:r>
      <w:r>
        <w:rPr>
          <w:bCs/>
          <w:sz w:val="22"/>
          <w:szCs w:val="22"/>
        </w:rPr>
        <w:t xml:space="preserve"> período, nas situações previstas no § 1º do art. 64 da lei nº. 8.666/93, sob pena de decair o direito à contratação, sem prejuízo das sanções previstas no Art. 81 da mesma lei.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Decorridos os prazos acima citados e, não tendo a empresa vencedora </w:t>
      </w:r>
      <w:r>
        <w:rPr>
          <w:bCs/>
          <w:sz w:val="22"/>
          <w:szCs w:val="22"/>
        </w:rPr>
        <w:t>comparecido ao chamamento, perderá o direito a contratação independentemente de sujeitar-se às penalidades do art. 7º da Lei Federal nº. 10.520/2002 e autoriza a Contratante a convocar os remanescentes, na ordem de classificação, para fazê-lo em igual praz</w:t>
      </w:r>
      <w:r>
        <w:rPr>
          <w:bCs/>
          <w:sz w:val="22"/>
          <w:szCs w:val="22"/>
        </w:rPr>
        <w:t>o e nas mesmas condições propostas pelo primeiro classificado.</w:t>
      </w:r>
    </w:p>
    <w:p w:rsidR="00C67128" w:rsidRDefault="00C67128">
      <w:pPr>
        <w:pStyle w:val="PargrafodaLista"/>
        <w:spacing w:after="50"/>
        <w:ind w:left="567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ACOMPANHAMENTO E FISCALIZAÇÃO DA CONTRATAÇÃO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Cs/>
          <w:sz w:val="22"/>
          <w:szCs w:val="22"/>
        </w:rPr>
        <w:t>contratação</w:t>
      </w:r>
      <w:r>
        <w:rPr>
          <w:sz w:val="22"/>
          <w:szCs w:val="22"/>
        </w:rPr>
        <w:t xml:space="preserve"> será acompanhada e fiscalizada pela servidora NÍSIA ROSICLER GOMES CORREIA TORRES, Coordenadora Geral da CAF.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 gestor da contrata</w:t>
      </w:r>
      <w:r>
        <w:rPr>
          <w:sz w:val="22"/>
          <w:szCs w:val="22"/>
        </w:rPr>
        <w:t xml:space="preserve">ção terá, entre outras, as seguintes atribuições: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expedir ordens de fornecimento;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proceder ao acompanhamento técnico da entrega;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comunicar à Contratada o descumprimento do contrato e indicar os procedimentos necessários ao seu correto cumprimento;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solic</w:t>
      </w:r>
      <w:r>
        <w:rPr>
          <w:sz w:val="22"/>
          <w:szCs w:val="22"/>
        </w:rPr>
        <w:t xml:space="preserve">itar à Administração a aplicação de penalidades por descumprimento de cláusula contratual;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fornecer atestados de capacidade técnica quando solicitado, </w:t>
      </w:r>
      <w:r>
        <w:rPr>
          <w:sz w:val="22"/>
          <w:szCs w:val="22"/>
        </w:rPr>
        <w:t>em conjunto com o Gestor da Pasta,</w:t>
      </w:r>
      <w:r>
        <w:rPr>
          <w:color w:val="548DD4"/>
          <w:sz w:val="22"/>
          <w:szCs w:val="22"/>
        </w:rPr>
        <w:t xml:space="preserve"> </w:t>
      </w:r>
      <w:r>
        <w:rPr>
          <w:sz w:val="22"/>
          <w:szCs w:val="22"/>
        </w:rPr>
        <w:t xml:space="preserve">desde que atendidas às obrigações contratuais;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atestar as notas fisc</w:t>
      </w:r>
      <w:r>
        <w:rPr>
          <w:sz w:val="22"/>
          <w:szCs w:val="22"/>
        </w:rPr>
        <w:t xml:space="preserve">ais de fornecimento para efeito de pagamentos; 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recusar o objeto que for entregue fora das especificações contidas neste Termo de Referência ou que forem entregues em quantidades divergentes daquelas constantes na ordem de entrega;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solicitar à Contratada e</w:t>
      </w:r>
      <w:r>
        <w:rPr>
          <w:sz w:val="22"/>
          <w:szCs w:val="22"/>
        </w:rPr>
        <w:t xml:space="preserve"> a seu preposto todas as providências necessárias ao bom e fiel cumprimento das obrigações.</w:t>
      </w:r>
    </w:p>
    <w:p w:rsidR="00C67128" w:rsidRDefault="00C67128">
      <w:pPr>
        <w:pStyle w:val="PargrafodaLista"/>
        <w:spacing w:after="50"/>
        <w:ind w:left="720"/>
        <w:jc w:val="both"/>
        <w:rPr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SANÇÕES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São sanções passíveis de aplicação às empresas, sem prejuízo de outras sanções previstas em legislação pertinente e da responsabilidade civil e crimina</w:t>
      </w:r>
      <w:r>
        <w:rPr>
          <w:bCs/>
          <w:sz w:val="22"/>
          <w:szCs w:val="22"/>
        </w:rPr>
        <w:t>l que seus atos ensejarem:</w:t>
      </w:r>
    </w:p>
    <w:p w:rsidR="00C67128" w:rsidRDefault="000B135C">
      <w:pPr>
        <w:pStyle w:val="PargrafodaLista"/>
        <w:numPr>
          <w:ilvl w:val="2"/>
          <w:numId w:val="2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advertência;</w:t>
      </w:r>
    </w:p>
    <w:p w:rsidR="00C67128" w:rsidRDefault="000B135C">
      <w:pPr>
        <w:pStyle w:val="PargrafodaLista"/>
        <w:numPr>
          <w:ilvl w:val="2"/>
          <w:numId w:val="2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multa diária de 0,3% (três décimos percentuais);</w:t>
      </w:r>
    </w:p>
    <w:p w:rsidR="00C67128" w:rsidRDefault="000B135C">
      <w:pPr>
        <w:pStyle w:val="PargrafodaLista"/>
        <w:numPr>
          <w:ilvl w:val="2"/>
          <w:numId w:val="2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multa de até 5% (cinco por cento);</w:t>
      </w:r>
    </w:p>
    <w:p w:rsidR="00C67128" w:rsidRDefault="000B135C">
      <w:pPr>
        <w:pStyle w:val="PargrafodaLista"/>
        <w:numPr>
          <w:ilvl w:val="2"/>
          <w:numId w:val="2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multa de até 10% (dez por cento);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suspensão temporária, pelo período de até 2 (dois) anos, de participação em licitação e </w:t>
      </w:r>
      <w:r>
        <w:rPr>
          <w:bCs/>
          <w:sz w:val="22"/>
          <w:szCs w:val="22"/>
        </w:rPr>
        <w:t>contratação com este órgão com a imediata comunicação;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impedimento de licitar e contratar com o Município de Maceió pelo prazo de até cinco anos nos termos do art. 10, Anexo II, c/c art. 14, Anexo I, todos do Decreto Municipal 6.417/2004 com o imediato reg</w:t>
      </w:r>
      <w:r>
        <w:rPr>
          <w:bCs/>
          <w:sz w:val="22"/>
          <w:szCs w:val="22"/>
        </w:rPr>
        <w:t xml:space="preserve">istro no SICAF.  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 fornecedor estará sujeito às sanções do subitem 13.1 nas seguintes hipóteses:</w:t>
      </w:r>
    </w:p>
    <w:p w:rsidR="00C67128" w:rsidRDefault="000B135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Falhar ou fraudar na execução da contratação, comportar-se de modo inidôneo, fizer declaração falsa ou cometer fraude fiscal: aplicação da sanção prevista no </w:t>
      </w:r>
      <w:r>
        <w:rPr>
          <w:sz w:val="22"/>
          <w:szCs w:val="22"/>
        </w:rPr>
        <w:t>subitem “13.1.4” (calculada sobre o valor total da contratação) e/ou “13.1.6”;</w:t>
      </w:r>
    </w:p>
    <w:p w:rsidR="00C67128" w:rsidRDefault="000B135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Infrações de menor gravidade que não acarretem prejuízos ao município: aplicação da sanção prevista no subitem "13.1.1”;</w:t>
      </w:r>
    </w:p>
    <w:p w:rsidR="00C67128" w:rsidRDefault="000B135C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Por dia de atraso quanto ao cumprimento das determinaçõe</w:t>
      </w:r>
      <w:r>
        <w:rPr>
          <w:sz w:val="22"/>
          <w:szCs w:val="22"/>
        </w:rPr>
        <w:t>s exaradas pela Contratante: aplicação da sanção prevista no subitem “13.1.2” (calculada sobre o valor total da contratação, ou sobre o valor da parcela a que se refere a determinação, conforme o caso, até o máximo de 10 (dez) por cento daqueles valores, p</w:t>
      </w:r>
      <w:r>
        <w:rPr>
          <w:sz w:val="22"/>
          <w:szCs w:val="22"/>
        </w:rPr>
        <w:t>or ocorrência).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Em caso de ocorrência de inadimplemento não contemplado nas hipóteses anteriores, a Administração procederá à apuração do dano para aplicação da sanção apropriada ao caso concreto, observado o princípio da proporcionalidade.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Comprovado impe</w:t>
      </w:r>
      <w:r>
        <w:rPr>
          <w:bCs/>
          <w:sz w:val="22"/>
          <w:szCs w:val="22"/>
        </w:rPr>
        <w:t>dimento ou reconhecida força maior, devidamente justificado e aceito pela Administração, em relação a um dos eventos arrolados no subitem 11.2, a empresa ficará isenta das penalidades mencionadas.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critério da Contratante, nos termos do art. 87, § 2.º, da</w:t>
      </w:r>
      <w:r>
        <w:rPr>
          <w:bCs/>
          <w:sz w:val="22"/>
          <w:szCs w:val="22"/>
        </w:rPr>
        <w:t xml:space="preserve"> Lei Federal n.º 8.666/93, e considerando a gravidade da infração cometida, ocorrendo quaisquer das hipóteses indicadas no subitem 13.2, a sanção prevista no subitem “13.1.5” ou no subitem “13.1.6” do item 13.1 que poderá ser aplicada isolada ou cumulativa</w:t>
      </w:r>
      <w:r>
        <w:rPr>
          <w:bCs/>
          <w:sz w:val="22"/>
          <w:szCs w:val="22"/>
        </w:rPr>
        <w:t>mente com quaisquer das multas previstas no subitem “13.1.2” a “13.1.4” do mesmo dispositivo.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 penalidades fixadas no subitem 13.1 serão aplicadas através de Processo Administrativo a cargo da Contratante, no qual serão assegurados à contratada o contrad</w:t>
      </w:r>
      <w:r>
        <w:rPr>
          <w:bCs/>
          <w:sz w:val="22"/>
          <w:szCs w:val="22"/>
        </w:rPr>
        <w:t xml:space="preserve">itório e a ampla defesa. 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 sanções administrativas serão registradas no SICAF. </w:t>
      </w:r>
    </w:p>
    <w:p w:rsidR="00C67128" w:rsidRDefault="00C67128">
      <w:pPr>
        <w:pStyle w:val="PargrafodaLista"/>
        <w:tabs>
          <w:tab w:val="left" w:pos="284"/>
        </w:tabs>
        <w:ind w:left="0"/>
        <w:jc w:val="both"/>
        <w:rPr>
          <w:bCs/>
          <w:sz w:val="22"/>
          <w:szCs w:val="22"/>
        </w:rPr>
      </w:pPr>
    </w:p>
    <w:p w:rsidR="00C67128" w:rsidRDefault="00C67128">
      <w:pPr>
        <w:pStyle w:val="PargrafodaLista"/>
        <w:tabs>
          <w:tab w:val="left" w:pos="284"/>
        </w:tabs>
        <w:ind w:left="0"/>
        <w:jc w:val="both"/>
        <w:rPr>
          <w:bCs/>
          <w:sz w:val="22"/>
          <w:szCs w:val="22"/>
        </w:rPr>
      </w:pPr>
    </w:p>
    <w:p w:rsidR="00C67128" w:rsidRDefault="000B135C">
      <w:pPr>
        <w:pStyle w:val="PargrafodaLista"/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spacing w:after="50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 GARANTIA E ASSISTÊNCIA TÉCNICA DOS PRODUTOS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Todos</w:t>
      </w:r>
      <w:r>
        <w:rPr>
          <w:sz w:val="22"/>
          <w:szCs w:val="22"/>
        </w:rPr>
        <w:t xml:space="preserve"> os produtos fornecidos devem possuir uma garantia do fabricante de, no mínimo, 12 (doze) meses, contados da data do recebimento definitivo, a critério do fabricante ou às expensas, contra vícios ou defeitos de fabricação.</w:t>
      </w:r>
    </w:p>
    <w:p w:rsidR="00C67128" w:rsidRDefault="000B135C">
      <w:pPr>
        <w:pStyle w:val="PargrafodaLista"/>
        <w:numPr>
          <w:ilvl w:val="2"/>
          <w:numId w:val="2"/>
        </w:numPr>
        <w:spacing w:after="50"/>
        <w:jc w:val="both"/>
        <w:rPr>
          <w:sz w:val="22"/>
          <w:szCs w:val="22"/>
        </w:rPr>
      </w:pPr>
      <w:r>
        <w:rPr>
          <w:bCs/>
          <w:sz w:val="22"/>
          <w:szCs w:val="22"/>
        </w:rPr>
        <w:t>Havendo</w:t>
      </w:r>
      <w:r>
        <w:rPr>
          <w:sz w:val="22"/>
          <w:szCs w:val="22"/>
        </w:rPr>
        <w:t xml:space="preserve"> prazo de garantia superio</w:t>
      </w:r>
      <w:r>
        <w:rPr>
          <w:sz w:val="22"/>
          <w:szCs w:val="22"/>
        </w:rPr>
        <w:t>r ao mínimo exigido prevalecerá a regra mais favorável a Administração Pública.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</w:pPr>
      <w:r>
        <w:rPr>
          <w:sz w:val="22"/>
          <w:szCs w:val="22"/>
        </w:rPr>
        <w:t>Durante o período de garantia, os produtos que apresentarem defeitos deverão ser trocados por outro de igual modelo, ou superior, mantendo, no mínimo, as mesmas características</w:t>
      </w:r>
      <w:r>
        <w:rPr>
          <w:sz w:val="22"/>
          <w:szCs w:val="22"/>
        </w:rPr>
        <w:t xml:space="preserve"> dos produtos originalmente fornecidos e todas as despesas inerentes à reposição e transporte, correrão por conta da Contratada, não cabendo qualquer ônus à Contratante, conforme o caso.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Cs/>
          <w:sz w:val="22"/>
          <w:szCs w:val="22"/>
        </w:rPr>
        <w:t>Contratada</w:t>
      </w:r>
      <w:r>
        <w:rPr>
          <w:sz w:val="22"/>
          <w:szCs w:val="22"/>
        </w:rPr>
        <w:t xml:space="preserve"> deverá prestar assistência técnica em Maceió/AL.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 Lei 8</w:t>
      </w:r>
      <w:r>
        <w:rPr>
          <w:sz w:val="22"/>
          <w:szCs w:val="22"/>
        </w:rPr>
        <w:t>.078/90 (Código de Defesa do Consumidor) regerá as demais disposições pertinentes à matéria.</w:t>
      </w:r>
    </w:p>
    <w:p w:rsidR="00C67128" w:rsidRDefault="00C67128">
      <w:pPr>
        <w:pStyle w:val="PargrafodaLista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C67128" w:rsidRDefault="000B135C">
      <w:pPr>
        <w:numPr>
          <w:ilvl w:val="0"/>
          <w:numId w:val="2"/>
        </w:numPr>
        <w:pBdr>
          <w:bottom w:val="single" w:sz="4" w:space="1" w:color="00000A"/>
        </w:pBdr>
        <w:tabs>
          <w:tab w:val="left" w:pos="284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DISPOSIÇÕES GERAIS/INFORMAÇÕES COMPLEMENTARES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 setor técnico competente auxiliará o pregoeiro nos casos de pedidos de esclarecimentos, impugnações a análise de p</w:t>
      </w:r>
      <w:r>
        <w:rPr>
          <w:sz w:val="22"/>
          <w:szCs w:val="22"/>
        </w:rPr>
        <w:t>ropostas.</w:t>
      </w:r>
    </w:p>
    <w:p w:rsidR="00C67128" w:rsidRDefault="000B135C">
      <w:pPr>
        <w:pStyle w:val="PargrafodaLista"/>
        <w:numPr>
          <w:ilvl w:val="1"/>
          <w:numId w:val="2"/>
        </w:numPr>
        <w:spacing w:after="50"/>
        <w:ind w:left="567" w:hanging="567"/>
        <w:jc w:val="both"/>
      </w:pPr>
      <w:r>
        <w:rPr>
          <w:sz w:val="22"/>
          <w:szCs w:val="22"/>
        </w:rPr>
        <w:t xml:space="preserve">Eventuais pedidos de informações/esclarecimentos deverão ser encaminhados à ARSER – Agência Municipal de Regulação de Serviços Delegados, </w:t>
      </w:r>
      <w:r>
        <w:rPr>
          <w:sz w:val="22"/>
          <w:szCs w:val="22"/>
        </w:rPr>
        <w:t>Rua Pedro Monteiro, nº 47, Centro, Maceió – AL, CEP. 57020-380, telefone (82) 3315-7323 / 7336 / 7326, e-mai</w:t>
      </w:r>
      <w:r>
        <w:rPr>
          <w:sz w:val="22"/>
          <w:szCs w:val="22"/>
        </w:rPr>
        <w:t xml:space="preserve">l: </w:t>
      </w:r>
      <w:hyperlink r:id="rId8">
        <w:r>
          <w:rPr>
            <w:rStyle w:val="LinkdaInternet"/>
            <w:sz w:val="22"/>
            <w:szCs w:val="22"/>
          </w:rPr>
          <w:t>gerencia.licitacoes@arser</w:t>
        </w:r>
      </w:hyperlink>
      <w:r>
        <w:rPr>
          <w:sz w:val="22"/>
          <w:szCs w:val="22"/>
        </w:rPr>
        <w:t>.maceio.al.gov.br.</w:t>
      </w: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0B135C">
      <w:pP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Maceió, 19 de junho de 2017.</w:t>
      </w: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C67128">
      <w:pPr>
        <w:ind w:left="284"/>
        <w:jc w:val="center"/>
        <w:rPr>
          <w:sz w:val="22"/>
          <w:szCs w:val="22"/>
        </w:rPr>
      </w:pPr>
    </w:p>
    <w:p w:rsidR="00C67128" w:rsidRDefault="00C67128">
      <w:pPr>
        <w:ind w:left="284"/>
        <w:jc w:val="center"/>
        <w:rPr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sz w:val="22"/>
          <w:szCs w:val="22"/>
        </w:rPr>
      </w:pP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Michelle Cristina Silva de Almeida</w:t>
      </w:r>
    </w:p>
    <w:p w:rsidR="00C67128" w:rsidRDefault="000B135C">
      <w:pPr>
        <w:jc w:val="center"/>
      </w:pPr>
      <w:r>
        <w:rPr>
          <w:b/>
          <w:sz w:val="22"/>
          <w:szCs w:val="22"/>
        </w:rPr>
        <w:t>Farmacêutica SMS-Maceió</w:t>
      </w: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Matrícula 944527-7</w:t>
      </w: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jc w:val="center"/>
        <w:rPr>
          <w:sz w:val="22"/>
          <w:szCs w:val="22"/>
        </w:rPr>
      </w:pP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Venício Teixeira Rocha</w:t>
      </w: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Coordenador</w:t>
      </w:r>
      <w:r>
        <w:rPr>
          <w:b/>
          <w:sz w:val="22"/>
          <w:szCs w:val="22"/>
        </w:rPr>
        <w:t xml:space="preserve"> de Farmácia e Bioquímica da SMS-AL</w:t>
      </w: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0B13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 acordo. Aprovo o presente Termo de Referência com as disposições nele contidas.</w:t>
      </w:r>
    </w:p>
    <w:p w:rsidR="00C67128" w:rsidRDefault="00C67128">
      <w:pPr>
        <w:jc w:val="both"/>
        <w:rPr>
          <w:sz w:val="22"/>
          <w:szCs w:val="22"/>
        </w:rPr>
      </w:pPr>
    </w:p>
    <w:p w:rsidR="00C67128" w:rsidRDefault="00C67128">
      <w:pPr>
        <w:jc w:val="both"/>
        <w:rPr>
          <w:sz w:val="22"/>
          <w:szCs w:val="22"/>
        </w:rPr>
      </w:pPr>
    </w:p>
    <w:p w:rsidR="00C67128" w:rsidRDefault="00C67128">
      <w:pPr>
        <w:jc w:val="both"/>
        <w:rPr>
          <w:sz w:val="22"/>
          <w:szCs w:val="22"/>
        </w:rPr>
      </w:pPr>
    </w:p>
    <w:p w:rsidR="00C67128" w:rsidRDefault="00C67128">
      <w:pPr>
        <w:jc w:val="both"/>
        <w:rPr>
          <w:sz w:val="22"/>
          <w:szCs w:val="22"/>
        </w:rPr>
      </w:pPr>
    </w:p>
    <w:p w:rsidR="00C67128" w:rsidRDefault="00C67128">
      <w:pPr>
        <w:jc w:val="both"/>
        <w:rPr>
          <w:sz w:val="22"/>
          <w:szCs w:val="22"/>
        </w:rPr>
      </w:pPr>
    </w:p>
    <w:p w:rsidR="00C67128" w:rsidRDefault="00C67128">
      <w:pPr>
        <w:jc w:val="both"/>
        <w:rPr>
          <w:sz w:val="22"/>
          <w:szCs w:val="22"/>
        </w:rPr>
      </w:pP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Thomaz Nonô</w:t>
      </w:r>
    </w:p>
    <w:p w:rsidR="00C67128" w:rsidRDefault="00C67128">
      <w:pPr>
        <w:jc w:val="center"/>
        <w:rPr>
          <w:b/>
          <w:i/>
          <w:sz w:val="22"/>
          <w:szCs w:val="22"/>
        </w:rPr>
      </w:pPr>
    </w:p>
    <w:p w:rsidR="00C67128" w:rsidRDefault="000B1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Secretário Municipal de Saúde SMS-AL</w:t>
      </w: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jc w:val="center"/>
        <w:rPr>
          <w:b/>
          <w:sz w:val="22"/>
          <w:szCs w:val="22"/>
        </w:rPr>
      </w:pPr>
    </w:p>
    <w:p w:rsidR="00C67128" w:rsidRDefault="00C67128">
      <w:pPr>
        <w:snapToGrid w:val="0"/>
        <w:jc w:val="center"/>
        <w:rPr>
          <w:sz w:val="22"/>
          <w:szCs w:val="22"/>
        </w:rPr>
      </w:pPr>
    </w:p>
    <w:p w:rsidR="00C67128" w:rsidRDefault="000B135C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APROVO O PRESENTE TERMO DE REFERÊNCIA</w:t>
      </w: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C67128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C67128" w:rsidRDefault="000B135C">
      <w:pPr>
        <w:jc w:val="center"/>
        <w:rPr>
          <w:sz w:val="22"/>
          <w:szCs w:val="22"/>
        </w:rPr>
      </w:pPr>
      <w:r>
        <w:rPr>
          <w:sz w:val="22"/>
          <w:szCs w:val="22"/>
        </w:rPr>
        <w:t>ANEXO I</w:t>
      </w:r>
    </w:p>
    <w:p w:rsidR="00C67128" w:rsidRDefault="00C67128">
      <w:pPr>
        <w:jc w:val="center"/>
        <w:rPr>
          <w:sz w:val="22"/>
          <w:szCs w:val="22"/>
        </w:rPr>
      </w:pPr>
    </w:p>
    <w:p w:rsidR="00C67128" w:rsidRDefault="000B135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DESCRIÇÃO </w:t>
      </w:r>
      <w:r>
        <w:rPr>
          <w:sz w:val="22"/>
          <w:szCs w:val="22"/>
        </w:rPr>
        <w:t>DOS PRODUTOS E QUANTITATIVOS</w:t>
      </w: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jc w:val="center"/>
        <w:rPr>
          <w:sz w:val="22"/>
          <w:szCs w:val="22"/>
        </w:rPr>
      </w:pPr>
    </w:p>
    <w:p w:rsidR="00C67128" w:rsidRDefault="00C67128">
      <w:pPr>
        <w:rPr>
          <w:b/>
          <w:sz w:val="22"/>
          <w:szCs w:val="22"/>
        </w:rPr>
      </w:pPr>
    </w:p>
    <w:tbl>
      <w:tblPr>
        <w:tblW w:w="87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99"/>
        <w:gridCol w:w="5220"/>
        <w:gridCol w:w="1134"/>
        <w:gridCol w:w="1717"/>
      </w:tblGrid>
      <w:tr w:rsidR="00C67128">
        <w:trPr>
          <w:trHeight w:val="119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UND.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</w:tr>
      <w:tr w:rsidR="00C67128">
        <w:trPr>
          <w:trHeight w:val="119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Escada Plataforma: </w:t>
            </w:r>
            <w:r>
              <w:rPr>
                <w:rFonts w:eastAsia="Calibri"/>
                <w:sz w:val="22"/>
                <w:szCs w:val="22"/>
              </w:rPr>
              <w:t xml:space="preserve">Escada industrial em estrutura metálica, com rodízios e sistema de travas usadas para acesso e manuseio de cargas através de estruturas metálicas verticalizadas, com </w:t>
            </w:r>
            <w:r>
              <w:rPr>
                <w:rFonts w:eastAsia="Calibri"/>
                <w:sz w:val="22"/>
                <w:szCs w:val="22"/>
              </w:rPr>
              <w:t>corrimão e plataforma superior para segurança.</w:t>
            </w:r>
          </w:p>
          <w:p w:rsidR="00C67128" w:rsidRDefault="000B13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 xml:space="preserve">Especificações: </w:t>
            </w:r>
            <w:r>
              <w:rPr>
                <w:rFonts w:eastAsia="Calibri"/>
                <w:sz w:val="22"/>
                <w:szCs w:val="22"/>
              </w:rPr>
              <w:t>largura total entre 85 cm e 95 cm, altura total entre 320 cm e 380 cm; capacidade entre 125 e 150kg.</w:t>
            </w:r>
          </w:p>
          <w:p w:rsidR="00C67128" w:rsidRDefault="00C67128">
            <w:pPr>
              <w:jc w:val="both"/>
              <w:rPr>
                <w:b/>
                <w:sz w:val="22"/>
                <w:szCs w:val="22"/>
              </w:rPr>
            </w:pPr>
          </w:p>
          <w:p w:rsidR="00C67128" w:rsidRDefault="000B135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Medidas aproximadas, podendo variar entre +/- 10%.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C67128">
        <w:trPr>
          <w:trHeight w:val="119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Transpalete (carro) </w:t>
            </w:r>
            <w:r>
              <w:rPr>
                <w:rFonts w:eastAsia="Calibri"/>
                <w:b/>
                <w:sz w:val="22"/>
                <w:szCs w:val="22"/>
              </w:rPr>
              <w:t>Hidráulico:</w:t>
            </w:r>
            <w:r>
              <w:rPr>
                <w:rFonts w:eastAsia="Calibri"/>
                <w:sz w:val="22"/>
                <w:szCs w:val="22"/>
              </w:rPr>
              <w:t xml:space="preserve"> Carro industrial com estrutura em chapa de aço laminado dobrado, usado para movimentação de cargas acondicionadas em paletes, rodas com núcleo de ferro e revestimento em poliuretano, pintura eletrostática a pó.</w:t>
            </w:r>
          </w:p>
          <w:p w:rsidR="00C67128" w:rsidRDefault="000B13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Especificações e dados técnicos: </w:t>
            </w:r>
            <w:r>
              <w:rPr>
                <w:rFonts w:eastAsia="Calibri"/>
                <w:sz w:val="22"/>
                <w:szCs w:val="22"/>
              </w:rPr>
              <w:t>altura total entre 1.215 mm e 1.235 mm; elevação total: entre 115 mm e 200 mm; comprimento dos garfos: entre 1.100 mm e 1.150mm; largura externa dos garfos: entre 530 mm e 690 mm; capacidade de carga: entre 2.500kg a 3.000kg.</w:t>
            </w:r>
          </w:p>
          <w:p w:rsidR="00C67128" w:rsidRDefault="00C67128">
            <w:pPr>
              <w:jc w:val="both"/>
              <w:rPr>
                <w:b/>
                <w:sz w:val="22"/>
                <w:szCs w:val="22"/>
              </w:rPr>
            </w:pPr>
          </w:p>
          <w:p w:rsidR="00C67128" w:rsidRDefault="000B135C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Medidas aproximadas, podendo</w:t>
            </w:r>
            <w:r>
              <w:rPr>
                <w:rFonts w:eastAsia="Calibri"/>
                <w:sz w:val="22"/>
                <w:szCs w:val="22"/>
              </w:rPr>
              <w:t xml:space="preserve"> variar entre +/- 10%.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67128" w:rsidRDefault="000B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</w:tbl>
    <w:p w:rsidR="00C67128" w:rsidRDefault="00C67128">
      <w:pPr>
        <w:widowControl w:val="0"/>
        <w:jc w:val="center"/>
        <w:rPr>
          <w:b/>
          <w:bCs/>
          <w:sz w:val="22"/>
          <w:szCs w:val="22"/>
        </w:rPr>
      </w:pPr>
    </w:p>
    <w:p w:rsidR="00C67128" w:rsidRDefault="00C67128">
      <w:pPr>
        <w:widowControl w:val="0"/>
        <w:jc w:val="center"/>
        <w:rPr>
          <w:b/>
          <w:bCs/>
          <w:sz w:val="22"/>
          <w:szCs w:val="22"/>
        </w:rPr>
      </w:pPr>
    </w:p>
    <w:p w:rsidR="00C67128" w:rsidRDefault="00C67128">
      <w:pPr>
        <w:widowControl w:val="0"/>
        <w:jc w:val="center"/>
        <w:rPr>
          <w:b/>
          <w:bCs/>
          <w:sz w:val="22"/>
          <w:szCs w:val="22"/>
        </w:rPr>
      </w:pPr>
    </w:p>
    <w:p w:rsidR="00C67128" w:rsidRDefault="00C67128">
      <w:pPr>
        <w:widowControl w:val="0"/>
        <w:jc w:val="center"/>
      </w:pPr>
    </w:p>
    <w:sectPr w:rsidR="00C67128">
      <w:headerReference w:type="default" r:id="rId9"/>
      <w:footerReference w:type="default" r:id="rId10"/>
      <w:pgSz w:w="11906" w:h="16838"/>
      <w:pgMar w:top="1417" w:right="1133" w:bottom="1276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135C">
      <w:r>
        <w:separator/>
      </w:r>
    </w:p>
  </w:endnote>
  <w:endnote w:type="continuationSeparator" w:id="0">
    <w:p w:rsidR="00000000" w:rsidRDefault="000B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Trebuchet MS">
    <w:panose1 w:val="020B0603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128" w:rsidRDefault="000B135C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:rsidR="00C67128" w:rsidRDefault="00C671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135C">
      <w:r>
        <w:separator/>
      </w:r>
    </w:p>
  </w:footnote>
  <w:footnote w:type="continuationSeparator" w:id="0">
    <w:p w:rsidR="00000000" w:rsidRDefault="000B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128" w:rsidRDefault="00C67128">
    <w:pPr>
      <w:pStyle w:val="Ttulo3"/>
      <w:rPr>
        <w:rFonts w:ascii="Calibri" w:hAnsi="Calibri"/>
        <w:bCs w:val="0"/>
        <w:iCs/>
        <w:sz w:val="20"/>
      </w:rPr>
    </w:pPr>
  </w:p>
  <w:p w:rsidR="00C67128" w:rsidRDefault="00C67128">
    <w:pPr>
      <w:pStyle w:val="Ttulo3"/>
      <w:jc w:val="center"/>
      <w:rPr>
        <w:rFonts w:ascii="Calibri" w:hAnsi="Calibri" w:cs="Calibri"/>
        <w:bCs w:val="0"/>
        <w:iCs/>
        <w:sz w:val="20"/>
      </w:rPr>
    </w:pPr>
  </w:p>
  <w:p w:rsidR="00C67128" w:rsidRDefault="000B135C">
    <w:pPr>
      <w:jc w:val="center"/>
    </w:pPr>
    <w:r>
      <w:rPr>
        <w:noProof/>
      </w:rPr>
      <w:drawing>
        <wp:inline distT="0" distB="0" distL="0" distR="0">
          <wp:extent cx="675640" cy="656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56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7128" w:rsidRDefault="00C67128">
    <w:pPr>
      <w:jc w:val="center"/>
    </w:pPr>
  </w:p>
  <w:p w:rsidR="00C67128" w:rsidRDefault="000B135C">
    <w:pPr>
      <w:jc w:val="center"/>
      <w:rPr>
        <w:sz w:val="21"/>
        <w:szCs w:val="21"/>
      </w:rPr>
    </w:pPr>
    <w:r>
      <w:rPr>
        <w:sz w:val="21"/>
        <w:szCs w:val="21"/>
      </w:rPr>
      <w:t>ESTADO DE ALAGOAS</w:t>
    </w:r>
  </w:p>
  <w:p w:rsidR="00C67128" w:rsidRDefault="000B135C">
    <w:pPr>
      <w:jc w:val="center"/>
      <w:rPr>
        <w:sz w:val="21"/>
        <w:szCs w:val="21"/>
      </w:rPr>
    </w:pPr>
    <w:r>
      <w:rPr>
        <w:sz w:val="21"/>
        <w:szCs w:val="21"/>
      </w:rPr>
      <w:t>PREFEITURA MUNICIPAL DE MACEIÓ</w:t>
    </w:r>
  </w:p>
  <w:p w:rsidR="00C67128" w:rsidRDefault="000B135C">
    <w:pPr>
      <w:jc w:val="center"/>
      <w:rPr>
        <w:rFonts w:ascii="Calibri" w:hAnsi="Calibri"/>
        <w:i/>
        <w:color w:val="045699"/>
        <w:sz w:val="20"/>
        <w:szCs w:val="20"/>
      </w:rPr>
    </w:pPr>
    <w:r>
      <w:rPr>
        <w:sz w:val="21"/>
        <w:szCs w:val="21"/>
      </w:rPr>
      <w:t>SECRETARIA MUNICIPAL DE SAÚDE</w:t>
    </w:r>
  </w:p>
  <w:p w:rsidR="00C67128" w:rsidRDefault="00C67128">
    <w:pPr>
      <w:pBdr>
        <w:bottom w:val="single" w:sz="4" w:space="1" w:color="00000A"/>
      </w:pBdr>
      <w:jc w:val="center"/>
      <w:rPr>
        <w:rFonts w:ascii="Calibri" w:hAnsi="Calibri"/>
        <w:i/>
        <w:sz w:val="20"/>
        <w:szCs w:val="20"/>
      </w:rPr>
    </w:pPr>
  </w:p>
  <w:p w:rsidR="00C67128" w:rsidRDefault="00C6712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66B"/>
    <w:multiLevelType w:val="multilevel"/>
    <w:tmpl w:val="38BE3C00"/>
    <w:lvl w:ilvl="0">
      <w:start w:val="1"/>
      <w:numFmt w:val="decimal"/>
      <w:lvlText w:val="%1"/>
      <w:lvlJc w:val="left"/>
      <w:pPr>
        <w:ind w:left="390" w:hanging="390"/>
      </w:pPr>
      <w:rPr>
        <w:b/>
        <w:sz w:val="22"/>
      </w:rPr>
    </w:lvl>
    <w:lvl w:ilvl="1">
      <w:start w:val="1"/>
      <w:numFmt w:val="decimal"/>
      <w:lvlText w:val="%1.%2"/>
      <w:lvlJc w:val="left"/>
      <w:pPr>
        <w:ind w:left="390" w:hanging="39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37B03D0"/>
    <w:multiLevelType w:val="multilevel"/>
    <w:tmpl w:val="D8A6E9A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D24DA0"/>
    <w:multiLevelType w:val="multilevel"/>
    <w:tmpl w:val="798443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E29FD"/>
    <w:multiLevelType w:val="multilevel"/>
    <w:tmpl w:val="1B20D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8"/>
    <w:rsid w:val="000B135C"/>
    <w:rsid w:val="00C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6E376-70A7-4760-B8C2-43090EC8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815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Ttulo2">
    <w:name w:val="heading 2"/>
    <w:basedOn w:val="Ttulododocumento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4B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A42815"/>
    <w:rPr>
      <w:rFonts w:ascii="Arial" w:eastAsia="Times New Roman" w:hAnsi="Arial" w:cs="Arial"/>
      <w:b/>
      <w:bCs/>
      <w:sz w:val="32"/>
      <w:szCs w:val="32"/>
      <w:lang w:eastAsia="pt-BR"/>
    </w:rPr>
  </w:style>
  <w:style w:type="character" w:customStyle="1" w:styleId="Ttulo4Char">
    <w:name w:val="Título 4 Char"/>
    <w:link w:val="Ttulo4"/>
    <w:uiPriority w:val="9"/>
    <w:qFormat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orpodetexto3Char">
    <w:name w:val="Corpo de texto 3 Char"/>
    <w:link w:val="Corpodetexto3"/>
    <w:qFormat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otexto"/>
    <w:qFormat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qFormat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qFormat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A4281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nhideWhenUsed/>
    <w:rsid w:val="00492D1B"/>
    <w:rPr>
      <w:color w:val="0000FF" w:themeColor="hyperlink"/>
      <w:u w:val="single"/>
    </w:rPr>
  </w:style>
  <w:style w:type="character" w:customStyle="1" w:styleId="style1">
    <w:name w:val="style1"/>
    <w:basedOn w:val="Fontepargpadro"/>
    <w:qFormat/>
    <w:rsid w:val="00160448"/>
  </w:style>
  <w:style w:type="character" w:customStyle="1" w:styleId="style201">
    <w:name w:val="style201"/>
    <w:qFormat/>
    <w:rsid w:val="00160448"/>
    <w:rPr>
      <w:rFonts w:ascii="Trebuchet MS" w:hAnsi="Trebuchet MS"/>
      <w:color w:val="000000"/>
      <w:sz w:val="18"/>
      <w:szCs w:val="18"/>
    </w:rPr>
  </w:style>
  <w:style w:type="character" w:styleId="nfase">
    <w:name w:val="Emphasis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qFormat/>
    <w:rsid w:val="008719DE"/>
  </w:style>
  <w:style w:type="character" w:customStyle="1" w:styleId="tex3">
    <w:name w:val="tex3"/>
    <w:basedOn w:val="Fontepargpadro"/>
    <w:qFormat/>
    <w:rsid w:val="00B659E2"/>
  </w:style>
  <w:style w:type="character" w:customStyle="1" w:styleId="Ttulo3Char">
    <w:name w:val="Título 3 Char"/>
    <w:link w:val="Ttulo3"/>
    <w:uiPriority w:val="9"/>
    <w:qFormat/>
    <w:rsid w:val="00194BF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622CBC"/>
    <w:rPr>
      <w:rFonts w:ascii="Times New Roman" w:eastAsia="Times New Roman" w:hAnsi="Times New Roman"/>
      <w:sz w:val="24"/>
      <w:szCs w:val="24"/>
    </w:rPr>
  </w:style>
  <w:style w:type="character" w:customStyle="1" w:styleId="A6">
    <w:name w:val="A6"/>
    <w:uiPriority w:val="99"/>
    <w:qFormat/>
    <w:rsid w:val="008974C9"/>
    <w:rPr>
      <w:color w:val="000000"/>
      <w:sz w:val="20"/>
      <w:szCs w:val="20"/>
    </w:rPr>
  </w:style>
  <w:style w:type="character" w:customStyle="1" w:styleId="SubttuloChar">
    <w:name w:val="Subtítulo Char"/>
    <w:link w:val="Subttulo"/>
    <w:uiPriority w:val="11"/>
    <w:qFormat/>
    <w:rsid w:val="000D2B4E"/>
    <w:rPr>
      <w:rFonts w:ascii="Times New Roman" w:eastAsia="Times New Roman" w:hAnsi="Times New Roman"/>
      <w:b/>
      <w:sz w:val="24"/>
      <w:szCs w:val="24"/>
    </w:rPr>
  </w:style>
  <w:style w:type="character" w:customStyle="1" w:styleId="RecuodecorpodetextoChar">
    <w:name w:val="Recuo de corpo de texto Char"/>
    <w:link w:val="Corpodetextorecuado"/>
    <w:qFormat/>
    <w:rsid w:val="009631F6"/>
    <w:rPr>
      <w:rFonts w:ascii="Times New Roman" w:eastAsia="Times New Roman" w:hAnsi="Times New Roman"/>
      <w:sz w:val="24"/>
      <w:szCs w:val="24"/>
    </w:rPr>
  </w:style>
  <w:style w:type="character" w:customStyle="1" w:styleId="PargrafodaListaChar">
    <w:name w:val="Parágrafo da Lista Char"/>
    <w:link w:val="PargrafodaLista"/>
    <w:qFormat/>
    <w:locked/>
    <w:rsid w:val="009631F6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rFonts w:ascii="Calibri" w:hAnsi="Calibri"/>
      <w:b/>
      <w:sz w:val="22"/>
      <w:szCs w:val="22"/>
    </w:rPr>
  </w:style>
  <w:style w:type="character" w:customStyle="1" w:styleId="ListLabel3">
    <w:name w:val="ListLabel 3"/>
    <w:qFormat/>
    <w:rPr>
      <w:b/>
      <w:sz w:val="22"/>
      <w:szCs w:val="22"/>
    </w:rPr>
  </w:style>
  <w:style w:type="character" w:customStyle="1" w:styleId="ListLabel4">
    <w:name w:val="ListLabel 4"/>
    <w:qFormat/>
    <w:rPr>
      <w:rFonts w:eastAsia="Calibri" w:cs="Times New Roman"/>
      <w:color w:val="00000A"/>
      <w:sz w:val="22"/>
      <w:szCs w:val="22"/>
      <w:shd w:val="clear" w:color="auto" w:fill="FFFFFF"/>
      <w:lang w:eastAsia="en-US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sz w:val="22"/>
    </w:rPr>
  </w:style>
  <w:style w:type="character" w:customStyle="1" w:styleId="ListLabel7">
    <w:name w:val="ListLabel 7"/>
    <w:qFormat/>
    <w:rPr>
      <w:rFonts w:ascii="Calibri" w:hAnsi="Calibri"/>
      <w:b/>
      <w:sz w:val="22"/>
      <w:szCs w:val="22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  <w:szCs w:val="22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A42815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</w:style>
  <w:style w:type="paragraph" w:styleId="Corpodetexto3">
    <w:name w:val="Body Text 3"/>
    <w:basedOn w:val="Normal"/>
    <w:link w:val="Corpodetexto3Char"/>
    <w:qFormat/>
    <w:rsid w:val="00A42815"/>
    <w:pPr>
      <w:jc w:val="both"/>
    </w:pPr>
    <w:rPr>
      <w:szCs w:val="20"/>
    </w:rPr>
  </w:style>
  <w:style w:type="paragraph" w:customStyle="1" w:styleId="Corpo">
    <w:name w:val="Corpo"/>
    <w:qFormat/>
    <w:rsid w:val="00A42815"/>
    <w:pPr>
      <w:suppressAutoHyphens/>
      <w:jc w:val="both"/>
    </w:pPr>
    <w:rPr>
      <w:rFonts w:ascii="Times New Roman" w:eastAsia="Times New Roman" w:hAnsi="Times New Roman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815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qFormat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qFormat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qFormat/>
    <w:rsid w:val="00160448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qFormat/>
    <w:rsid w:val="00160448"/>
    <w:pPr>
      <w:spacing w:beforeAutospacing="1" w:afterAutospacing="1"/>
    </w:pPr>
    <w:rPr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622CBC"/>
    <w:pPr>
      <w:spacing w:after="120" w:line="480" w:lineRule="auto"/>
      <w:ind w:left="283"/>
    </w:pPr>
  </w:style>
  <w:style w:type="paragraph" w:customStyle="1" w:styleId="Pa2">
    <w:name w:val="Pa2"/>
    <w:basedOn w:val="Default"/>
    <w:next w:val="Default"/>
    <w:uiPriority w:val="99"/>
    <w:qFormat/>
    <w:rsid w:val="008974C9"/>
    <w:pPr>
      <w:spacing w:line="241" w:lineRule="atLeast"/>
    </w:pPr>
    <w:rPr>
      <w:rFonts w:ascii="Times New Roman" w:eastAsia="Calibri" w:hAnsi="Times New Roman" w:cs="Times New Roman"/>
      <w:color w:val="00000A"/>
      <w:lang w:eastAsia="en-US"/>
    </w:rPr>
  </w:style>
  <w:style w:type="paragraph" w:customStyle="1" w:styleId="Pa1">
    <w:name w:val="Pa1"/>
    <w:basedOn w:val="Default"/>
    <w:next w:val="Default"/>
    <w:uiPriority w:val="99"/>
    <w:qFormat/>
    <w:rsid w:val="00460743"/>
    <w:pPr>
      <w:spacing w:line="241" w:lineRule="atLeast"/>
    </w:pPr>
    <w:rPr>
      <w:rFonts w:ascii="Times New Roman" w:eastAsia="Calibri" w:hAnsi="Times New Roman" w:cs="Times New Roman"/>
      <w:color w:val="00000A"/>
      <w:lang w:eastAsia="en-US"/>
    </w:rPr>
  </w:style>
  <w:style w:type="paragraph" w:styleId="Subttulo">
    <w:name w:val="Subtitle"/>
    <w:basedOn w:val="Normal"/>
    <w:link w:val="SubttuloChar"/>
    <w:uiPriority w:val="11"/>
    <w:qFormat/>
    <w:rsid w:val="000D2B4E"/>
    <w:pPr>
      <w:ind w:firstLine="567"/>
    </w:pPr>
    <w:rPr>
      <w:b/>
    </w:rPr>
  </w:style>
  <w:style w:type="paragraph" w:customStyle="1" w:styleId="Corpodetextorecuado">
    <w:name w:val="Corpo de texto recuado"/>
    <w:basedOn w:val="Normal"/>
    <w:link w:val="RecuodecorpodetextoChar"/>
    <w:rsid w:val="009631F6"/>
    <w:pPr>
      <w:spacing w:before="120" w:after="120"/>
      <w:ind w:left="283"/>
      <w:jc w:val="both"/>
    </w:pPr>
  </w:style>
  <w:style w:type="paragraph" w:customStyle="1" w:styleId="PargrafodaLista2">
    <w:name w:val="Parágrafo da Lista2"/>
    <w:basedOn w:val="Normal"/>
    <w:uiPriority w:val="99"/>
    <w:qFormat/>
    <w:rsid w:val="009631F6"/>
    <w:pPr>
      <w:spacing w:before="120"/>
      <w:ind w:left="720"/>
      <w:contextualSpacing/>
      <w:jc w:val="both"/>
    </w:pPr>
  </w:style>
  <w:style w:type="paragraph" w:customStyle="1" w:styleId="Normal1">
    <w:name w:val="Normal1"/>
    <w:qFormat/>
    <w:rsid w:val="00B7643D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taes">
    <w:name w:val="Citações"/>
    <w:basedOn w:val="Normal"/>
    <w:qFormat/>
  </w:style>
  <w:style w:type="table" w:styleId="Tabelacomgrade">
    <w:name w:val="Table Grid"/>
    <w:basedOn w:val="Tabelanormal"/>
    <w:rsid w:val="00A4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8383-D96B-4339-8DB6-46E63C62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2232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 Oliveira Barbosa</dc:creator>
  <cp:lastModifiedBy>zanny Guedes</cp:lastModifiedBy>
  <cp:revision>2</cp:revision>
  <cp:lastPrinted>2016-09-12T17:52:00Z</cp:lastPrinted>
  <dcterms:created xsi:type="dcterms:W3CDTF">2018-10-19T12:03:00Z</dcterms:created>
  <dcterms:modified xsi:type="dcterms:W3CDTF">2018-10-19T12:03:00Z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