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2D7FC7">
        <w:rPr>
          <w:rFonts w:ascii="Arial" w:hAnsi="Arial" w:cs="Arial"/>
          <w:b/>
          <w:sz w:val="22"/>
          <w:szCs w:val="22"/>
        </w:rPr>
        <w:t xml:space="preserve"> ETIQUETAS IMPRESSORA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709"/>
        <w:gridCol w:w="3235"/>
        <w:gridCol w:w="1166"/>
        <w:gridCol w:w="1152"/>
        <w:gridCol w:w="1342"/>
        <w:gridCol w:w="1342"/>
      </w:tblGrid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1E779E" w:rsidRPr="002D7FC7" w:rsidRDefault="002D7FC7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Etiquetas para impressora (25,4 mm X 101,6 mm, 20 etiquetas p/folhas - carta</w:t>
            </w:r>
          </w:p>
        </w:tc>
        <w:tc>
          <w:tcPr>
            <w:tcW w:w="1166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52" w:type="dxa"/>
            <w:vAlign w:val="center"/>
          </w:tcPr>
          <w:p w:rsidR="001E779E" w:rsidRPr="00F27893" w:rsidRDefault="002D7FC7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2D7FC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2D7FC7">
              <w:rPr>
                <w:rFonts w:ascii="Arial" w:hAnsi="Arial" w:cs="Arial"/>
                <w:sz w:val="20"/>
              </w:rPr>
              <w:t>14,05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2D7FC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2D7FC7">
              <w:rPr>
                <w:rFonts w:ascii="Arial" w:hAnsi="Arial" w:cs="Arial"/>
                <w:sz w:val="20"/>
              </w:rPr>
              <w:t>562,00</w:t>
            </w:r>
          </w:p>
        </w:tc>
      </w:tr>
    </w:tbl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 w:rsidR="002D7FC7">
        <w:rPr>
          <w:rFonts w:ascii="Arial" w:hAnsi="Arial" w:cs="Arial"/>
          <w:sz w:val="22"/>
          <w:szCs w:val="22"/>
        </w:rPr>
        <w:t xml:space="preserve"> a utilização para coleta do número do chassi dos veículos.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lastRenderedPageBreak/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lastRenderedPageBreak/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</w:t>
      </w:r>
      <w:r w:rsidR="002D7FC7">
        <w:rPr>
          <w:rFonts w:ascii="Arial" w:hAnsi="Arial" w:cs="Arial"/>
          <w:sz w:val="22"/>
          <w:szCs w:val="22"/>
        </w:rPr>
        <w:t xml:space="preserve"> 12 de julho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7FA" w:rsidRDefault="00F167FA" w:rsidP="00CD25DE">
      <w:r>
        <w:separator/>
      </w:r>
    </w:p>
  </w:endnote>
  <w:endnote w:type="continuationSeparator" w:id="1">
    <w:p w:rsidR="00F167FA" w:rsidRDefault="00F167FA" w:rsidP="00CD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367663"/>
      <w:docPartObj>
        <w:docPartGallery w:val="Page Numbers (Bottom of Page)"/>
        <w:docPartUnique/>
      </w:docPartObj>
    </w:sdtPr>
    <w:sdtContent>
      <w:p w:rsidR="008B6557" w:rsidRDefault="00C36C86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9475B8">
          <w:rPr>
            <w:rFonts w:ascii="Arial" w:hAnsi="Arial" w:cs="Arial"/>
            <w:noProof/>
            <w:sz w:val="16"/>
            <w:szCs w:val="16"/>
          </w:rPr>
          <w:t>1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7FA" w:rsidRDefault="00F167FA" w:rsidP="00CD25DE">
      <w:r>
        <w:separator/>
      </w:r>
    </w:p>
  </w:footnote>
  <w:footnote w:type="continuationSeparator" w:id="1">
    <w:p w:rsidR="00F167FA" w:rsidRDefault="00F167FA" w:rsidP="00CD2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F440F"/>
    <w:rsid w:val="0000714E"/>
    <w:rsid w:val="0000745E"/>
    <w:rsid w:val="0001500B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D7FC7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475B8"/>
    <w:rsid w:val="00966C7C"/>
    <w:rsid w:val="00970122"/>
    <w:rsid w:val="0097202A"/>
    <w:rsid w:val="00976A96"/>
    <w:rsid w:val="009B28D8"/>
    <w:rsid w:val="009B4A43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36C86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3933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F167FA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ED41-CEE6-4BA0-8398-C6AC5357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cristiana leandro</cp:lastModifiedBy>
  <cp:revision>2</cp:revision>
  <cp:lastPrinted>2018-09-21T14:51:00Z</cp:lastPrinted>
  <dcterms:created xsi:type="dcterms:W3CDTF">2018-11-01T16:55:00Z</dcterms:created>
  <dcterms:modified xsi:type="dcterms:W3CDTF">2018-11-01T16:55:00Z</dcterms:modified>
</cp:coreProperties>
</file>